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EAE70" w14:textId="5BDE1043" w:rsidR="001D1EFC" w:rsidRPr="00201FE2" w:rsidRDefault="00CB5005" w:rsidP="008755F1">
      <w:pPr>
        <w:spacing w:line="240" w:lineRule="auto"/>
        <w:rPr>
          <w:rFonts w:ascii="Tahoma" w:hAnsi="Tahoma" w:cs="Tahoma"/>
          <w:sz w:val="18"/>
          <w:szCs w:val="18"/>
        </w:rPr>
      </w:pPr>
      <w:bookmarkStart w:id="0" w:name="_Hlk137117362"/>
      <w:r w:rsidRPr="00201FE2">
        <w:rPr>
          <w:rFonts w:ascii="Tahoma" w:hAnsi="Tahoma" w:cs="Tahoma"/>
          <w:b/>
          <w:noProof/>
          <w:sz w:val="18"/>
          <w:szCs w:val="18"/>
          <w:lang w:eastAsia="fr-FR"/>
        </w:rPr>
        <w:drawing>
          <wp:anchor distT="0" distB="0" distL="114300" distR="114300" simplePos="0" relativeHeight="251659264" behindDoc="1" locked="0" layoutInCell="1" allowOverlap="1" wp14:anchorId="7122B96C" wp14:editId="727D999A">
            <wp:simplePos x="0" y="0"/>
            <wp:positionH relativeFrom="page">
              <wp:posOffset>-95250</wp:posOffset>
            </wp:positionH>
            <wp:positionV relativeFrom="paragraph">
              <wp:posOffset>-540385</wp:posOffset>
            </wp:positionV>
            <wp:extent cx="7708900" cy="2368550"/>
            <wp:effectExtent l="0" t="0" r="6350" b="0"/>
            <wp:wrapNone/>
            <wp:docPr id="22850537" name="Image 1" descr="D:\RENFORT\Entete\Entete 2.2 M.derniere version RENFORT_Mai_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RENFORT\Entete\Entete 2.2 M.derniere version RENFORT_Mai_2024.jpg"/>
                    <pic:cNvPicPr>
                      <a:picLocks noChangeAspect="1" noChangeArrowheads="1"/>
                    </pic:cNvPicPr>
                  </pic:nvPicPr>
                  <pic:blipFill>
                    <a:blip r:embed="rId7">
                      <a:extLst>
                        <a:ext uri="{28A0092B-C50C-407E-A947-70E740481C1C}">
                          <a14:useLocalDpi xmlns:a14="http://schemas.microsoft.com/office/drawing/2010/main" val="0"/>
                        </a:ext>
                      </a:extLst>
                    </a:blip>
                    <a:srcRect b="79784"/>
                    <a:stretch>
                      <a:fillRect/>
                    </a:stretch>
                  </pic:blipFill>
                  <pic:spPr bwMode="auto">
                    <a:xfrm>
                      <a:off x="0" y="0"/>
                      <a:ext cx="7708900" cy="236855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10A6E3C5" w14:textId="77777777" w:rsidR="001D1EFC" w:rsidRPr="00201FE2" w:rsidRDefault="001D1EFC" w:rsidP="008755F1">
      <w:pPr>
        <w:spacing w:after="60" w:line="240" w:lineRule="auto"/>
        <w:jc w:val="both"/>
        <w:rPr>
          <w:rFonts w:ascii="Tahoma" w:eastAsia="Calibri" w:hAnsi="Tahoma" w:cs="Tahoma"/>
          <w:sz w:val="18"/>
          <w:szCs w:val="18"/>
        </w:rPr>
      </w:pPr>
    </w:p>
    <w:p w14:paraId="6D7CB150" w14:textId="77777777" w:rsidR="001D1EFC" w:rsidRPr="00201FE2" w:rsidRDefault="001D1EFC" w:rsidP="008755F1">
      <w:pPr>
        <w:spacing w:after="60" w:line="240" w:lineRule="auto"/>
        <w:jc w:val="both"/>
        <w:rPr>
          <w:rFonts w:ascii="Tahoma" w:eastAsia="Calibri" w:hAnsi="Tahoma" w:cs="Tahoma"/>
          <w:sz w:val="18"/>
          <w:szCs w:val="18"/>
        </w:rPr>
      </w:pPr>
    </w:p>
    <w:p w14:paraId="63AB4578" w14:textId="77777777" w:rsidR="001D1EFC" w:rsidRPr="00201FE2" w:rsidRDefault="001D1EFC" w:rsidP="008755F1">
      <w:pPr>
        <w:spacing w:after="60" w:line="240" w:lineRule="auto"/>
        <w:jc w:val="both"/>
        <w:rPr>
          <w:rFonts w:ascii="Tahoma" w:eastAsia="Calibri" w:hAnsi="Tahoma" w:cs="Tahoma"/>
          <w:sz w:val="18"/>
          <w:szCs w:val="18"/>
        </w:rPr>
      </w:pPr>
    </w:p>
    <w:p w14:paraId="3C94ECBA" w14:textId="77777777" w:rsidR="001D1EFC" w:rsidRPr="00201FE2" w:rsidRDefault="001D1EFC" w:rsidP="008755F1">
      <w:pPr>
        <w:spacing w:after="60" w:line="240" w:lineRule="auto"/>
        <w:jc w:val="both"/>
        <w:rPr>
          <w:rFonts w:ascii="Tahoma" w:eastAsia="Calibri" w:hAnsi="Tahoma" w:cs="Tahoma"/>
          <w:sz w:val="18"/>
          <w:szCs w:val="18"/>
        </w:rPr>
      </w:pPr>
    </w:p>
    <w:p w14:paraId="45848759" w14:textId="77777777" w:rsidR="00B43F60" w:rsidRPr="00201FE2" w:rsidRDefault="00B43F60" w:rsidP="008755F1">
      <w:pPr>
        <w:spacing w:after="60" w:line="240" w:lineRule="auto"/>
        <w:jc w:val="both"/>
        <w:rPr>
          <w:rFonts w:ascii="Tahoma" w:eastAsia="Calibri" w:hAnsi="Tahoma" w:cs="Tahoma"/>
          <w:sz w:val="18"/>
          <w:szCs w:val="18"/>
        </w:rPr>
      </w:pPr>
    </w:p>
    <w:p w14:paraId="3E47FA43" w14:textId="77777777" w:rsidR="004D3BED" w:rsidRDefault="004D3BED" w:rsidP="00135D76">
      <w:pPr>
        <w:tabs>
          <w:tab w:val="left" w:pos="0"/>
        </w:tabs>
        <w:spacing w:after="0" w:line="240" w:lineRule="auto"/>
        <w:jc w:val="center"/>
        <w:rPr>
          <w:rFonts w:ascii="Tahoma" w:hAnsi="Tahoma" w:cs="Tahoma"/>
          <w:b/>
          <w:bCs/>
          <w:sz w:val="24"/>
          <w:szCs w:val="24"/>
        </w:rPr>
      </w:pPr>
    </w:p>
    <w:p w14:paraId="65D0D138" w14:textId="77777777" w:rsidR="004D3BED" w:rsidRDefault="004D3BED" w:rsidP="00135D76">
      <w:pPr>
        <w:tabs>
          <w:tab w:val="left" w:pos="0"/>
        </w:tabs>
        <w:spacing w:after="0" w:line="240" w:lineRule="auto"/>
        <w:jc w:val="center"/>
        <w:rPr>
          <w:rFonts w:ascii="Tahoma" w:hAnsi="Tahoma" w:cs="Tahoma"/>
          <w:b/>
          <w:bCs/>
          <w:sz w:val="24"/>
          <w:szCs w:val="24"/>
        </w:rPr>
      </w:pPr>
    </w:p>
    <w:p w14:paraId="2426E756" w14:textId="77777777" w:rsidR="004D3BED" w:rsidRDefault="004D3BED" w:rsidP="00135D76">
      <w:pPr>
        <w:tabs>
          <w:tab w:val="left" w:pos="0"/>
        </w:tabs>
        <w:spacing w:after="0" w:line="240" w:lineRule="auto"/>
        <w:jc w:val="center"/>
        <w:rPr>
          <w:rFonts w:ascii="Tahoma" w:hAnsi="Tahoma" w:cs="Tahoma"/>
          <w:b/>
          <w:bCs/>
          <w:sz w:val="24"/>
          <w:szCs w:val="24"/>
        </w:rPr>
      </w:pPr>
    </w:p>
    <w:p w14:paraId="38298F57" w14:textId="77777777" w:rsidR="004D3BED" w:rsidRDefault="004D3BED" w:rsidP="00135D76">
      <w:pPr>
        <w:tabs>
          <w:tab w:val="left" w:pos="0"/>
        </w:tabs>
        <w:spacing w:after="0" w:line="240" w:lineRule="auto"/>
        <w:jc w:val="center"/>
        <w:rPr>
          <w:rFonts w:ascii="Tahoma" w:hAnsi="Tahoma" w:cs="Tahoma"/>
          <w:b/>
          <w:bCs/>
          <w:sz w:val="24"/>
          <w:szCs w:val="24"/>
        </w:rPr>
      </w:pPr>
    </w:p>
    <w:p w14:paraId="31D1B67E" w14:textId="03859ECB" w:rsidR="009D2E75" w:rsidRPr="00201FE2" w:rsidRDefault="009D2E75" w:rsidP="00135D76">
      <w:pPr>
        <w:tabs>
          <w:tab w:val="left" w:pos="0"/>
        </w:tabs>
        <w:spacing w:after="0" w:line="240" w:lineRule="auto"/>
        <w:jc w:val="center"/>
        <w:rPr>
          <w:rFonts w:ascii="Tahoma" w:hAnsi="Tahoma" w:cs="Tahoma"/>
          <w:b/>
          <w:bCs/>
          <w:sz w:val="24"/>
          <w:szCs w:val="24"/>
        </w:rPr>
      </w:pPr>
      <w:r w:rsidRPr="00201FE2">
        <w:rPr>
          <w:rFonts w:ascii="Tahoma" w:hAnsi="Tahoma" w:cs="Tahoma"/>
          <w:b/>
          <w:bCs/>
          <w:sz w:val="24"/>
          <w:szCs w:val="24"/>
        </w:rPr>
        <w:t>APPEL À MANIFESTATION D'INTERET</w:t>
      </w:r>
    </w:p>
    <w:p w14:paraId="642D75A9" w14:textId="75C21810" w:rsidR="00135D76" w:rsidRPr="00201FE2" w:rsidRDefault="00135D76" w:rsidP="00135D76">
      <w:pPr>
        <w:spacing w:line="240" w:lineRule="auto"/>
        <w:jc w:val="center"/>
        <w:rPr>
          <w:rFonts w:ascii="Tahoma" w:hAnsi="Tahoma" w:cs="Tahoma"/>
          <w:b/>
          <w:sz w:val="24"/>
          <w:szCs w:val="24"/>
        </w:rPr>
      </w:pPr>
      <w:r w:rsidRPr="00201FE2">
        <w:rPr>
          <w:rFonts w:ascii="Tahoma" w:hAnsi="Tahoma" w:cs="Tahoma"/>
          <w:b/>
          <w:sz w:val="24"/>
          <w:szCs w:val="24"/>
        </w:rPr>
        <w:t>(Consultant individuel)</w:t>
      </w:r>
    </w:p>
    <w:p w14:paraId="339185CB" w14:textId="77777777" w:rsidR="00F5490A" w:rsidRPr="00201FE2" w:rsidRDefault="00F5490A" w:rsidP="00201FE2">
      <w:pPr>
        <w:tabs>
          <w:tab w:val="left" w:pos="0"/>
        </w:tabs>
        <w:spacing w:after="0" w:line="240" w:lineRule="auto"/>
        <w:rPr>
          <w:rFonts w:ascii="Tahoma" w:hAnsi="Tahoma" w:cs="Tahoma"/>
          <w:b/>
          <w:sz w:val="18"/>
          <w:szCs w:val="18"/>
          <w:lang w:eastAsia="fr-FR"/>
        </w:rPr>
      </w:pPr>
    </w:p>
    <w:p w14:paraId="36B982A7" w14:textId="4394D113" w:rsidR="00D42CA9" w:rsidRDefault="009D2E75" w:rsidP="00D42CA9">
      <w:pPr>
        <w:spacing w:after="60" w:line="276" w:lineRule="auto"/>
        <w:rPr>
          <w:rFonts w:ascii="Tahoma" w:hAnsi="Tahoma" w:cs="Tahoma"/>
          <w:sz w:val="18"/>
          <w:szCs w:val="18"/>
        </w:rPr>
      </w:pPr>
      <w:r w:rsidRPr="00201FE2">
        <w:rPr>
          <w:rFonts w:ascii="Tahoma" w:hAnsi="Tahoma" w:cs="Tahoma"/>
          <w:b/>
          <w:sz w:val="18"/>
          <w:szCs w:val="18"/>
          <w:u w:val="single"/>
        </w:rPr>
        <w:t>Intitulé de la mission</w:t>
      </w:r>
      <w:r w:rsidRPr="00201FE2">
        <w:rPr>
          <w:rFonts w:ascii="Tahoma" w:hAnsi="Tahoma" w:cs="Tahoma"/>
          <w:b/>
          <w:sz w:val="18"/>
          <w:szCs w:val="18"/>
        </w:rPr>
        <w:t> :</w:t>
      </w:r>
      <w:r w:rsidR="00AF0096" w:rsidRPr="00201FE2">
        <w:rPr>
          <w:rFonts w:ascii="Tahoma" w:hAnsi="Tahoma" w:cs="Tahoma"/>
          <w:bCs/>
          <w:sz w:val="18"/>
          <w:szCs w:val="18"/>
        </w:rPr>
        <w:t xml:space="preserve"> </w:t>
      </w:r>
      <w:r w:rsidR="00AF0096" w:rsidRPr="00201FE2">
        <w:rPr>
          <w:rFonts w:ascii="Tahoma" w:eastAsia="Calibri" w:hAnsi="Tahoma" w:cs="Tahoma"/>
          <w:sz w:val="18"/>
          <w:szCs w:val="18"/>
        </w:rPr>
        <w:t xml:space="preserve"> </w:t>
      </w:r>
      <w:r w:rsidR="00AF0096" w:rsidRPr="00201FE2">
        <w:rPr>
          <w:rFonts w:ascii="Tahoma" w:hAnsi="Tahoma" w:cs="Tahoma"/>
          <w:sz w:val="18"/>
          <w:szCs w:val="18"/>
        </w:rPr>
        <w:t xml:space="preserve">Recrutement d’un </w:t>
      </w:r>
      <w:r w:rsidR="00135D76" w:rsidRPr="00201FE2">
        <w:rPr>
          <w:rFonts w:ascii="Tahoma" w:hAnsi="Tahoma" w:cs="Tahoma"/>
          <w:sz w:val="18"/>
          <w:szCs w:val="18"/>
        </w:rPr>
        <w:t>C</w:t>
      </w:r>
      <w:r w:rsidR="00AF0096" w:rsidRPr="00201FE2">
        <w:rPr>
          <w:rFonts w:ascii="Tahoma" w:hAnsi="Tahoma" w:cs="Tahoma"/>
          <w:sz w:val="18"/>
          <w:szCs w:val="18"/>
        </w:rPr>
        <w:t>onsultant</w:t>
      </w:r>
      <w:r w:rsidR="003A2E1D" w:rsidRPr="00201FE2">
        <w:rPr>
          <w:rFonts w:ascii="Tahoma" w:hAnsi="Tahoma" w:cs="Tahoma"/>
          <w:sz w:val="18"/>
          <w:szCs w:val="18"/>
        </w:rPr>
        <w:t xml:space="preserve"> individuel</w:t>
      </w:r>
      <w:r w:rsidR="00937E61">
        <w:rPr>
          <w:rFonts w:ascii="Tahoma" w:hAnsi="Tahoma" w:cs="Tahoma"/>
          <w:sz w:val="18"/>
          <w:szCs w:val="18"/>
        </w:rPr>
        <w:t xml:space="preserve"> chargé de conduire</w:t>
      </w:r>
      <w:r w:rsidR="00D42CA9">
        <w:rPr>
          <w:rFonts w:ascii="Tahoma" w:hAnsi="Tahoma" w:cs="Tahoma"/>
          <w:sz w:val="18"/>
          <w:szCs w:val="18"/>
        </w:rPr>
        <w:t xml:space="preserve"> l’étude sur les modalités de paiement et les alternatives de paiement en espèce.</w:t>
      </w:r>
    </w:p>
    <w:p w14:paraId="2F2FB8A4" w14:textId="77777777" w:rsidR="00D42CA9" w:rsidRDefault="00D42CA9" w:rsidP="00D42CA9">
      <w:pPr>
        <w:spacing w:after="60" w:line="276" w:lineRule="auto"/>
        <w:rPr>
          <w:rFonts w:ascii="Tahoma" w:hAnsi="Tahoma" w:cs="Tahoma"/>
          <w:sz w:val="18"/>
          <w:szCs w:val="18"/>
        </w:rPr>
      </w:pPr>
    </w:p>
    <w:p w14:paraId="12B4E29A" w14:textId="39795CBC" w:rsidR="00E91F99" w:rsidRPr="00E91F99" w:rsidRDefault="009D2E75" w:rsidP="00D42CA9">
      <w:pPr>
        <w:spacing w:after="60" w:line="276" w:lineRule="auto"/>
        <w:rPr>
          <w:rFonts w:ascii="Tahoma" w:hAnsi="Tahoma" w:cs="Tahoma"/>
          <w:b/>
          <w:bCs/>
          <w:color w:val="000000" w:themeColor="text1"/>
          <w:sz w:val="18"/>
          <w:szCs w:val="18"/>
          <w:lang w:val="fr-TD"/>
        </w:rPr>
      </w:pPr>
      <w:r w:rsidRPr="00201FE2">
        <w:rPr>
          <w:rFonts w:ascii="Tahoma" w:hAnsi="Tahoma" w:cs="Tahoma"/>
          <w:b/>
          <w:bCs/>
          <w:sz w:val="18"/>
          <w:szCs w:val="18"/>
          <w:u w:val="single"/>
        </w:rPr>
        <w:t xml:space="preserve">Numéro de </w:t>
      </w:r>
      <w:r w:rsidR="00D42CA9" w:rsidRPr="00D42CA9">
        <w:rPr>
          <w:rFonts w:ascii="Tahoma" w:hAnsi="Tahoma" w:cs="Tahoma"/>
          <w:b/>
          <w:bCs/>
          <w:sz w:val="18"/>
          <w:szCs w:val="18"/>
          <w:u w:val="single"/>
        </w:rPr>
        <w:t>référence PTBA</w:t>
      </w:r>
      <w:r w:rsidR="00D42CA9" w:rsidRPr="00201FE2">
        <w:rPr>
          <w:rFonts w:ascii="Tahoma" w:hAnsi="Tahoma" w:cs="Tahoma"/>
          <w:sz w:val="18"/>
          <w:szCs w:val="18"/>
        </w:rPr>
        <w:t xml:space="preserve"> :</w:t>
      </w:r>
      <w:r w:rsidR="00137B4E" w:rsidRPr="00201FE2">
        <w:rPr>
          <w:rFonts w:ascii="Tahoma" w:hAnsi="Tahoma" w:cs="Tahoma"/>
          <w:b/>
          <w:bCs/>
          <w:color w:val="000000" w:themeColor="text1"/>
          <w:sz w:val="18"/>
          <w:szCs w:val="18"/>
        </w:rPr>
        <w:t xml:space="preserve">   </w:t>
      </w:r>
    </w:p>
    <w:p w14:paraId="321217B6" w14:textId="4065E71E" w:rsidR="00860B20" w:rsidRPr="00201FE2" w:rsidRDefault="00860B20" w:rsidP="008755F1">
      <w:pPr>
        <w:spacing w:after="0" w:line="240" w:lineRule="auto"/>
        <w:jc w:val="both"/>
        <w:rPr>
          <w:rFonts w:ascii="Tahoma" w:eastAsia="Times New Roman" w:hAnsi="Tahoma" w:cs="Tahoma"/>
          <w:b/>
          <w:bCs/>
          <w:sz w:val="18"/>
          <w:szCs w:val="18"/>
          <w:highlight w:val="yellow"/>
        </w:rPr>
      </w:pPr>
    </w:p>
    <w:p w14:paraId="0B1289DB" w14:textId="7E015DBF" w:rsidR="009D2E75" w:rsidRPr="00201FE2" w:rsidRDefault="009D2E75" w:rsidP="008755F1">
      <w:pPr>
        <w:suppressAutoHyphens/>
        <w:spacing w:line="240" w:lineRule="auto"/>
        <w:jc w:val="both"/>
        <w:rPr>
          <w:rFonts w:ascii="Tahoma" w:hAnsi="Tahoma" w:cs="Tahoma"/>
          <w:sz w:val="18"/>
          <w:szCs w:val="18"/>
        </w:rPr>
      </w:pPr>
      <w:r w:rsidRPr="00201FE2">
        <w:rPr>
          <w:rFonts w:ascii="Tahoma" w:hAnsi="Tahoma" w:cs="Tahoma"/>
          <w:sz w:val="18"/>
          <w:szCs w:val="18"/>
        </w:rPr>
        <w:t>La République du Tchad a obtenu du Fonds International de Développement Agricole (FIDA) un financement destiné à couvrir le</w:t>
      </w:r>
      <w:r w:rsidR="002457EE" w:rsidRPr="00201FE2">
        <w:rPr>
          <w:rFonts w:ascii="Tahoma" w:hAnsi="Tahoma" w:cs="Tahoma"/>
          <w:sz w:val="18"/>
          <w:szCs w:val="18"/>
        </w:rPr>
        <w:t>s</w:t>
      </w:r>
      <w:r w:rsidRPr="00201FE2">
        <w:rPr>
          <w:rFonts w:ascii="Tahoma" w:hAnsi="Tahoma" w:cs="Tahoma"/>
          <w:sz w:val="18"/>
          <w:szCs w:val="18"/>
        </w:rPr>
        <w:t xml:space="preserve"> coût</w:t>
      </w:r>
      <w:r w:rsidR="002457EE" w:rsidRPr="00201FE2">
        <w:rPr>
          <w:rFonts w:ascii="Tahoma" w:hAnsi="Tahoma" w:cs="Tahoma"/>
          <w:sz w:val="18"/>
          <w:szCs w:val="18"/>
        </w:rPr>
        <w:t>s</w:t>
      </w:r>
      <w:r w:rsidRPr="00201FE2">
        <w:rPr>
          <w:rFonts w:ascii="Tahoma" w:hAnsi="Tahoma" w:cs="Tahoma"/>
          <w:sz w:val="18"/>
          <w:szCs w:val="18"/>
        </w:rPr>
        <w:t xml:space="preserve"> du </w:t>
      </w:r>
      <w:r w:rsidRPr="00201FE2">
        <w:rPr>
          <w:rFonts w:ascii="Tahoma" w:eastAsia="Calibri" w:hAnsi="Tahoma" w:cs="Tahoma"/>
          <w:sz w:val="18"/>
          <w:szCs w:val="18"/>
        </w:rPr>
        <w:t xml:space="preserve">Projet </w:t>
      </w:r>
      <w:r w:rsidR="002457EE" w:rsidRPr="00201FE2">
        <w:rPr>
          <w:rFonts w:ascii="Tahoma" w:eastAsia="Calibri" w:hAnsi="Tahoma" w:cs="Tahoma"/>
          <w:sz w:val="18"/>
          <w:szCs w:val="18"/>
        </w:rPr>
        <w:t xml:space="preserve">de </w:t>
      </w:r>
      <w:r w:rsidRPr="00201FE2">
        <w:rPr>
          <w:rFonts w:ascii="Tahoma" w:eastAsia="Arial Unicode MS" w:hAnsi="Tahoma" w:cs="Tahoma"/>
          <w:sz w:val="18"/>
          <w:szCs w:val="18"/>
          <w:lang w:eastAsia="it-IT"/>
        </w:rPr>
        <w:t>Renforcement de l’Innovation dans l’Entrepreneuriat Agro-pastoral des Jeunes et Femmes du Tchad (</w:t>
      </w:r>
      <w:r w:rsidRPr="00201FE2">
        <w:rPr>
          <w:rFonts w:ascii="Tahoma" w:eastAsia="Arial Unicode MS" w:hAnsi="Tahoma" w:cs="Tahoma"/>
          <w:sz w:val="18"/>
          <w:szCs w:val="18"/>
        </w:rPr>
        <w:t>RENFORT</w:t>
      </w:r>
      <w:r w:rsidR="00383F07" w:rsidRPr="00201FE2">
        <w:rPr>
          <w:rFonts w:ascii="Tahoma" w:eastAsia="Arial Unicode MS" w:hAnsi="Tahoma" w:cs="Tahoma"/>
          <w:sz w:val="18"/>
          <w:szCs w:val="18"/>
        </w:rPr>
        <w:t>)</w:t>
      </w:r>
      <w:r w:rsidRPr="00201FE2">
        <w:rPr>
          <w:rFonts w:ascii="Tahoma" w:eastAsia="Arial Unicode MS" w:hAnsi="Tahoma" w:cs="Tahoma"/>
          <w:sz w:val="18"/>
          <w:szCs w:val="18"/>
        </w:rPr>
        <w:t xml:space="preserve"> </w:t>
      </w:r>
      <w:r w:rsidRPr="00201FE2">
        <w:rPr>
          <w:rFonts w:ascii="Tahoma" w:hAnsi="Tahoma" w:cs="Tahoma"/>
          <w:sz w:val="18"/>
          <w:szCs w:val="18"/>
        </w:rPr>
        <w:t>et envisage d'en faire partiellement usage pour s'adjoindre des services de conseil</w:t>
      </w:r>
      <w:r w:rsidR="001B4528" w:rsidRPr="00201FE2">
        <w:rPr>
          <w:rFonts w:ascii="Tahoma" w:hAnsi="Tahoma" w:cs="Tahoma"/>
          <w:sz w:val="18"/>
          <w:szCs w:val="18"/>
        </w:rPr>
        <w:t xml:space="preserve"> dispensés par un consultant individuel</w:t>
      </w:r>
      <w:r w:rsidRPr="00201FE2">
        <w:rPr>
          <w:rFonts w:ascii="Tahoma" w:hAnsi="Tahoma" w:cs="Tahoma"/>
          <w:sz w:val="18"/>
          <w:szCs w:val="18"/>
        </w:rPr>
        <w:t>.</w:t>
      </w:r>
    </w:p>
    <w:p w14:paraId="3C16BB37" w14:textId="33C72F74" w:rsidR="001B4528" w:rsidRPr="00201FE2" w:rsidRDefault="009D2E75" w:rsidP="008755F1">
      <w:pPr>
        <w:suppressAutoHyphens/>
        <w:spacing w:line="240" w:lineRule="auto"/>
        <w:jc w:val="both"/>
        <w:rPr>
          <w:rFonts w:ascii="Tahoma" w:hAnsi="Tahoma" w:cs="Tahoma"/>
          <w:sz w:val="18"/>
          <w:szCs w:val="18"/>
        </w:rPr>
      </w:pPr>
      <w:r w:rsidRPr="00201FE2">
        <w:rPr>
          <w:rFonts w:ascii="Tahoma" w:hAnsi="Tahoma" w:cs="Tahoma"/>
          <w:sz w:val="18"/>
          <w:szCs w:val="18"/>
        </w:rPr>
        <w:t>L’utilisation de fonds du FIDA est soumise à l’approbation de ce dernier, selon les modalités et conditions que prévoit l’accord de financement et conformément aux règles, politiques et procédures du FIDA. Le FIDA et ses représentants, mandataires et fonctionnaires sont dégagés de toute responsabilité concernant les actions en justice, procédures, réclamations, demandes, pertes et obligations en tout genre et de toute nature qu’une quelconque partie invoquerait dans le cadre du</w:t>
      </w:r>
      <w:r w:rsidR="001B4528" w:rsidRPr="00201FE2">
        <w:rPr>
          <w:rFonts w:ascii="Tahoma" w:hAnsi="Tahoma" w:cs="Tahoma"/>
          <w:sz w:val="18"/>
          <w:szCs w:val="18"/>
        </w:rPr>
        <w:t xml:space="preserve"> projet RENFORT</w:t>
      </w:r>
      <w:r w:rsidRPr="00201FE2">
        <w:rPr>
          <w:rFonts w:ascii="Tahoma" w:hAnsi="Tahoma" w:cs="Tahoma"/>
          <w:sz w:val="18"/>
          <w:szCs w:val="18"/>
        </w:rPr>
        <w:t>.</w:t>
      </w:r>
    </w:p>
    <w:p w14:paraId="03A79E78" w14:textId="30384071" w:rsidR="009D2E75" w:rsidRPr="00E91F99" w:rsidRDefault="00E91F99" w:rsidP="00D42CA9">
      <w:pPr>
        <w:spacing w:after="60" w:line="276" w:lineRule="auto"/>
        <w:rPr>
          <w:rFonts w:ascii="Tahoma" w:hAnsi="Tahoma" w:cs="Tahoma"/>
          <w:b/>
          <w:bCs/>
          <w:sz w:val="18"/>
          <w:szCs w:val="18"/>
        </w:rPr>
      </w:pPr>
      <w:r w:rsidRPr="00E91F99">
        <w:rPr>
          <w:rFonts w:ascii="Tahoma" w:hAnsi="Tahoma" w:cs="Tahoma"/>
          <w:b/>
          <w:bCs/>
          <w:sz w:val="18"/>
          <w:szCs w:val="18"/>
        </w:rPr>
        <w:t xml:space="preserve">Les services de conseil (« les services ») </w:t>
      </w:r>
      <w:r w:rsidRPr="00D42CA9">
        <w:rPr>
          <w:rFonts w:ascii="Tahoma" w:hAnsi="Tahoma" w:cs="Tahoma"/>
          <w:b/>
          <w:bCs/>
          <w:sz w:val="18"/>
          <w:szCs w:val="18"/>
        </w:rPr>
        <w:t>consistent à</w:t>
      </w:r>
      <w:r w:rsidR="00D42CA9" w:rsidRPr="00D42CA9">
        <w:rPr>
          <w:rFonts w:ascii="Tahoma" w:hAnsi="Tahoma" w:cs="Tahoma"/>
          <w:b/>
          <w:bCs/>
          <w:sz w:val="18"/>
          <w:szCs w:val="18"/>
        </w:rPr>
        <w:t xml:space="preserve"> </w:t>
      </w:r>
      <w:r w:rsidR="00D42CA9">
        <w:rPr>
          <w:rFonts w:ascii="Tahoma" w:hAnsi="Tahoma" w:cs="Tahoma"/>
          <w:b/>
          <w:bCs/>
          <w:sz w:val="18"/>
          <w:szCs w:val="18"/>
        </w:rPr>
        <w:t>conduire</w:t>
      </w:r>
      <w:r w:rsidR="00D42CA9" w:rsidRPr="00D42CA9">
        <w:rPr>
          <w:rFonts w:ascii="Tahoma" w:hAnsi="Tahoma" w:cs="Tahoma"/>
          <w:b/>
          <w:bCs/>
          <w:sz w:val="18"/>
          <w:szCs w:val="18"/>
        </w:rPr>
        <w:t xml:space="preserve"> l’étude sur les modalités de paiement et les alternatives de paiement en espèce</w:t>
      </w:r>
      <w:r w:rsidR="00D42CA9">
        <w:rPr>
          <w:rFonts w:ascii="Tahoma" w:hAnsi="Tahoma" w:cs="Tahoma"/>
          <w:b/>
          <w:bCs/>
          <w:sz w:val="18"/>
          <w:szCs w:val="18"/>
        </w:rPr>
        <w:t xml:space="preserve"> dans </w:t>
      </w:r>
      <w:r w:rsidRPr="00E91F99">
        <w:rPr>
          <w:rFonts w:ascii="Tahoma" w:hAnsi="Tahoma" w:cs="Tahoma"/>
          <w:b/>
          <w:bCs/>
          <w:sz w:val="18"/>
          <w:szCs w:val="18"/>
        </w:rPr>
        <w:t>la zone d’intervention du projet RENFORT</w:t>
      </w:r>
      <w:r>
        <w:rPr>
          <w:rFonts w:ascii="Tahoma" w:hAnsi="Tahoma" w:cs="Tahoma"/>
          <w:b/>
          <w:bCs/>
          <w:sz w:val="18"/>
          <w:szCs w:val="18"/>
        </w:rPr>
        <w:t xml:space="preserve">, la durée de la prestation est de </w:t>
      </w:r>
      <w:r w:rsidR="00D42CA9">
        <w:rPr>
          <w:rFonts w:ascii="Tahoma" w:hAnsi="Tahoma" w:cs="Tahoma"/>
          <w:b/>
          <w:bCs/>
          <w:sz w:val="18"/>
          <w:szCs w:val="18"/>
        </w:rPr>
        <w:t>3</w:t>
      </w:r>
      <w:r>
        <w:rPr>
          <w:rFonts w:ascii="Tahoma" w:hAnsi="Tahoma" w:cs="Tahoma"/>
          <w:b/>
          <w:bCs/>
          <w:sz w:val="18"/>
          <w:szCs w:val="18"/>
        </w:rPr>
        <w:t>0 jours.</w:t>
      </w:r>
    </w:p>
    <w:p w14:paraId="50771A2A" w14:textId="77777777" w:rsidR="009D2E75" w:rsidRPr="00201FE2" w:rsidRDefault="009D2E75" w:rsidP="008755F1">
      <w:pPr>
        <w:suppressAutoHyphens/>
        <w:spacing w:line="240" w:lineRule="auto"/>
        <w:jc w:val="both"/>
        <w:rPr>
          <w:rFonts w:ascii="Tahoma" w:hAnsi="Tahoma" w:cs="Tahoma"/>
          <w:spacing w:val="-2"/>
          <w:sz w:val="18"/>
          <w:szCs w:val="18"/>
        </w:rPr>
      </w:pPr>
      <w:r w:rsidRPr="00201FE2">
        <w:rPr>
          <w:rFonts w:ascii="Tahoma" w:hAnsi="Tahoma" w:cs="Tahoma"/>
          <w:sz w:val="18"/>
          <w:szCs w:val="18"/>
        </w:rPr>
        <w:t>Nous attirons l'attention des consultants intéressés sur la Politique du FIDA en matière de lutte contre le blanchiment de capitaux et le financement du terrorisme</w:t>
      </w:r>
      <w:r w:rsidRPr="00201FE2">
        <w:rPr>
          <w:rStyle w:val="Appelnotedebasdep"/>
          <w:rFonts w:ascii="Tahoma" w:hAnsi="Tahoma" w:cs="Tahoma"/>
          <w:iCs/>
          <w:color w:val="000000" w:themeColor="text1"/>
          <w:sz w:val="18"/>
          <w:szCs w:val="18"/>
        </w:rPr>
        <w:footnoteReference w:id="1"/>
      </w:r>
      <w:r w:rsidRPr="00201FE2">
        <w:rPr>
          <w:rFonts w:ascii="Tahoma" w:hAnsi="Tahoma" w:cs="Tahoma"/>
          <w:sz w:val="18"/>
          <w:szCs w:val="18"/>
        </w:rPr>
        <w:t xml:space="preserve"> et sur la Politique révisée du FIDA en matière de prévention de la fraude et de la corruption dans ses activités et opérations</w:t>
      </w:r>
      <w:r w:rsidRPr="00201FE2">
        <w:rPr>
          <w:rStyle w:val="Appelnotedebasdep"/>
          <w:rFonts w:ascii="Tahoma" w:eastAsia="SimSun" w:hAnsi="Tahoma" w:cs="Tahoma"/>
          <w:sz w:val="18"/>
          <w:szCs w:val="18"/>
          <w:lang w:eastAsia="zh-CN"/>
        </w:rPr>
        <w:footnoteReference w:id="2"/>
      </w:r>
      <w:r w:rsidRPr="00201FE2">
        <w:rPr>
          <w:rFonts w:ascii="Tahoma" w:hAnsi="Tahoma" w:cs="Tahoma"/>
          <w:sz w:val="18"/>
          <w:szCs w:val="18"/>
        </w:rPr>
        <w:t>. Cette dernière énonce les dispositions arrêtées par le FIDA concernant les pratiques répréhensibles. Le FIDA s'efforce par ailleurs de faire en sorte que ses activités et opérations se déroulent dans un environnement de travail sain, à l'abri de tout harcèlement, notamment sexuel, et de toute exploitation ou atteinte sexuelle, comme le précise sa Politique en matière de prévention et répression du harcèlement sexuel et de l'exploitation et des atteintes sexuelles</w:t>
      </w:r>
      <w:r w:rsidRPr="00201FE2">
        <w:rPr>
          <w:rStyle w:val="Appelnotedebasdep"/>
          <w:rFonts w:ascii="Tahoma" w:hAnsi="Tahoma" w:cs="Tahoma"/>
          <w:iCs/>
          <w:color w:val="000000" w:themeColor="text1"/>
          <w:sz w:val="18"/>
          <w:szCs w:val="18"/>
        </w:rPr>
        <w:footnoteReference w:id="3"/>
      </w:r>
      <w:r w:rsidRPr="00201FE2">
        <w:rPr>
          <w:rFonts w:ascii="Tahoma" w:hAnsi="Tahoma" w:cs="Tahoma"/>
          <w:sz w:val="18"/>
          <w:szCs w:val="18"/>
        </w:rPr>
        <w:t>.</w:t>
      </w:r>
    </w:p>
    <w:p w14:paraId="4B048292" w14:textId="7393FDD5" w:rsidR="009D2E75" w:rsidRPr="00201FE2" w:rsidRDefault="009D2E75" w:rsidP="008755F1">
      <w:pPr>
        <w:suppressAutoHyphens/>
        <w:spacing w:line="240" w:lineRule="auto"/>
        <w:jc w:val="both"/>
        <w:rPr>
          <w:rFonts w:ascii="Tahoma" w:eastAsia="SimSun" w:hAnsi="Tahoma" w:cs="Tahoma"/>
          <w:sz w:val="18"/>
          <w:szCs w:val="18"/>
        </w:rPr>
      </w:pPr>
      <w:r w:rsidRPr="00201FE2">
        <w:rPr>
          <w:rFonts w:ascii="Tahoma" w:hAnsi="Tahoma" w:cs="Tahoma"/>
          <w:sz w:val="18"/>
          <w:szCs w:val="18"/>
        </w:rPr>
        <w:t xml:space="preserve">Les consultants intéressés ne peuvent être en situation de conflit d'intérêts réel, potentiel ou raisonnablement perceptible comme tel. Tout soumissionnaire qui serait en pareille situation sera écarté, sauf approbation expresse du Fonds. Un conflit d'intérêt est présumé exister dès lors que les consultants a) entretiennent des relations qui leur permettent d'avoir indûment connaissance d'informations non divulguées concernant ou affectant le processus de sélection et l'exécution du marché, ou b) ont des liens professionnels ou familiaux avec un membre du conseil de direction du </w:t>
      </w:r>
      <w:r w:rsidR="002457EE" w:rsidRPr="00201FE2">
        <w:rPr>
          <w:rFonts w:ascii="Tahoma" w:hAnsi="Tahoma" w:cs="Tahoma"/>
          <w:sz w:val="18"/>
          <w:szCs w:val="18"/>
        </w:rPr>
        <w:t xml:space="preserve">Client </w:t>
      </w:r>
      <w:r w:rsidRPr="00201FE2">
        <w:rPr>
          <w:rFonts w:ascii="Tahoma" w:hAnsi="Tahoma" w:cs="Tahoma"/>
          <w:sz w:val="18"/>
          <w:szCs w:val="18"/>
        </w:rPr>
        <w:t xml:space="preserve">ou du personnel de ce dernier, avec le Fonds ou ses agents, ou avec quiconque a pris ou pourrait raisonnablement prendre part, directement ou indirectement, à i) l'établissement du présent appel à manifestation d'intérêt, ii) au processus de sélection pour le marché concerné, ou iii) à l'exécution dudit marché. Les consultants sont en permanence tenus de faire état de toute situation de conflit d'intérêts réel, potentiel ou raisonnablement perceptible comme tel qui apparaîtrait lors de l'établissement de la manifestation d'intérêt, du processus de sélection ou de l'exécution du marché. La non-divulgation de telles situations peut notamment entraîner l'exclusion du consultant, la </w:t>
      </w:r>
      <w:proofErr w:type="gramStart"/>
      <w:r w:rsidRPr="00201FE2">
        <w:rPr>
          <w:rFonts w:ascii="Tahoma" w:hAnsi="Tahoma" w:cs="Tahoma"/>
          <w:sz w:val="18"/>
          <w:szCs w:val="18"/>
        </w:rPr>
        <w:lastRenderedPageBreak/>
        <w:t>résiliation</w:t>
      </w:r>
      <w:proofErr w:type="gramEnd"/>
      <w:r w:rsidRPr="00201FE2">
        <w:rPr>
          <w:rFonts w:ascii="Tahoma" w:hAnsi="Tahoma" w:cs="Tahoma"/>
          <w:sz w:val="18"/>
          <w:szCs w:val="18"/>
        </w:rPr>
        <w:t xml:space="preserve"> du marché ou toute autre mesure appropriée en application de la Politique du FIDA en matière de prévention de la fraude et de la corruption dans le cadre de ses activités et opérations.</w:t>
      </w:r>
    </w:p>
    <w:p w14:paraId="58FFF57C" w14:textId="5D24712B" w:rsidR="009D2E75" w:rsidRDefault="00A06324" w:rsidP="00CF3C17">
      <w:pPr>
        <w:suppressAutoHyphens/>
        <w:spacing w:line="240" w:lineRule="auto"/>
        <w:jc w:val="both"/>
        <w:rPr>
          <w:rFonts w:ascii="Tahoma" w:hAnsi="Tahoma" w:cs="Tahoma"/>
          <w:sz w:val="18"/>
          <w:szCs w:val="18"/>
        </w:rPr>
      </w:pPr>
      <w:r w:rsidRPr="00201FE2">
        <w:rPr>
          <w:rFonts w:ascii="Tahoma" w:hAnsi="Tahoma" w:cs="Tahoma"/>
          <w:sz w:val="18"/>
          <w:szCs w:val="18"/>
        </w:rPr>
        <w:t>Le Secrétariat Général du Ministère de la Production et de l</w:t>
      </w:r>
      <w:r w:rsidR="00DE1183" w:rsidRPr="00201FE2">
        <w:rPr>
          <w:rFonts w:ascii="Tahoma" w:hAnsi="Tahoma" w:cs="Tahoma"/>
          <w:sz w:val="18"/>
          <w:szCs w:val="18"/>
        </w:rPr>
        <w:t>’</w:t>
      </w:r>
      <w:r w:rsidR="00D83001" w:rsidRPr="00201FE2">
        <w:rPr>
          <w:rFonts w:ascii="Tahoma" w:hAnsi="Tahoma" w:cs="Tahoma"/>
          <w:sz w:val="18"/>
          <w:szCs w:val="18"/>
        </w:rPr>
        <w:t>I</w:t>
      </w:r>
      <w:r w:rsidR="00DE1183" w:rsidRPr="00201FE2">
        <w:rPr>
          <w:rFonts w:ascii="Tahoma" w:hAnsi="Tahoma" w:cs="Tahoma"/>
          <w:sz w:val="18"/>
          <w:szCs w:val="18"/>
        </w:rPr>
        <w:t xml:space="preserve">ndustrialisation </w:t>
      </w:r>
      <w:r w:rsidRPr="00201FE2">
        <w:rPr>
          <w:rFonts w:ascii="Tahoma" w:hAnsi="Tahoma" w:cs="Tahoma"/>
          <w:sz w:val="18"/>
          <w:szCs w:val="18"/>
        </w:rPr>
        <w:t xml:space="preserve">Agricole </w:t>
      </w:r>
      <w:r w:rsidR="009D2E75" w:rsidRPr="00201FE2">
        <w:rPr>
          <w:rFonts w:ascii="Tahoma" w:hAnsi="Tahoma" w:cs="Tahoma"/>
          <w:sz w:val="18"/>
          <w:szCs w:val="18"/>
        </w:rPr>
        <w:t>invite à présent les consultants individuels ("les consultants") éligibles à manifester leur intérêt pour la fourniture des services en question. Les consultants intéressés sont tenus de fournir, sous la forme d'un curriculum vitae, des informations attestant qu'ils possèdent les qualifications requises et l'expérience nécessaire en la matière pour dispenser ces services.</w:t>
      </w:r>
    </w:p>
    <w:p w14:paraId="20B28F91" w14:textId="38F6FCC2" w:rsidR="00201FE2" w:rsidRPr="00201FE2" w:rsidRDefault="00C256A7" w:rsidP="00CF3C17">
      <w:pPr>
        <w:suppressAutoHyphens/>
        <w:spacing w:line="240" w:lineRule="auto"/>
        <w:jc w:val="both"/>
        <w:rPr>
          <w:rFonts w:ascii="Tahoma" w:hAnsi="Tahoma" w:cs="Tahoma"/>
          <w:sz w:val="18"/>
          <w:szCs w:val="18"/>
        </w:rPr>
      </w:pPr>
      <w:r w:rsidRPr="00B47D85">
        <w:rPr>
          <w:rFonts w:ascii="Tahoma" w:hAnsi="Tahoma" w:cs="Tahoma"/>
          <w:sz w:val="18"/>
          <w:szCs w:val="18"/>
        </w:rPr>
        <w:t xml:space="preserve">« Les consultants seront sélectionnés selon la méthode de sélection de consultants individuels exposée dans le Guide pratique de passation des marchés consultable sur le site web du FIDA, à l'adresse </w:t>
      </w:r>
      <w:r w:rsidR="00FB3093" w:rsidRPr="00B47D85">
        <w:rPr>
          <w:rFonts w:ascii="Tahoma" w:hAnsi="Tahoma" w:cs="Tahoma"/>
          <w:sz w:val="18"/>
          <w:szCs w:val="18"/>
        </w:rPr>
        <w:t>suivante :</w:t>
      </w:r>
      <w:r w:rsidRPr="00B47D85">
        <w:rPr>
          <w:rFonts w:ascii="Tahoma" w:hAnsi="Tahoma" w:cs="Tahoma"/>
          <w:sz w:val="18"/>
          <w:szCs w:val="18"/>
        </w:rPr>
        <w:t xml:space="preserve"> </w:t>
      </w:r>
      <w:hyperlink r:id="rId8" w:history="1">
        <w:r w:rsidRPr="00B47D85">
          <w:rPr>
            <w:rStyle w:val="Lienhypertexte"/>
            <w:rFonts w:ascii="Tahoma" w:hAnsi="Tahoma" w:cs="Tahoma"/>
            <w:sz w:val="18"/>
            <w:szCs w:val="18"/>
          </w:rPr>
          <w:t>https://www.ifad.org/fr/passation-de-marches-projets</w:t>
        </w:r>
      </w:hyperlink>
      <w:r w:rsidRPr="00B47D85">
        <w:rPr>
          <w:rFonts w:ascii="Tahoma" w:hAnsi="Tahoma" w:cs="Tahoma"/>
          <w:sz w:val="18"/>
          <w:szCs w:val="18"/>
        </w:rPr>
        <w:t xml:space="preserve"> ».</w:t>
      </w:r>
      <w:r w:rsidRPr="00C256A7">
        <w:rPr>
          <w:rFonts w:ascii="Tahoma" w:hAnsi="Tahoma" w:cs="Tahoma"/>
          <w:sz w:val="18"/>
          <w:szCs w:val="18"/>
        </w:rPr>
        <w:t xml:space="preserve"> </w:t>
      </w:r>
    </w:p>
    <w:p w14:paraId="7B908CAC" w14:textId="29A2553D" w:rsidR="007A398D" w:rsidRPr="004C12C5" w:rsidRDefault="00201FE2" w:rsidP="00201FE2">
      <w:pPr>
        <w:suppressAutoHyphens/>
        <w:spacing w:line="240" w:lineRule="auto"/>
        <w:jc w:val="both"/>
        <w:rPr>
          <w:rFonts w:ascii="Tahoma" w:hAnsi="Tahoma" w:cs="Tahoma"/>
          <w:sz w:val="18"/>
          <w:szCs w:val="18"/>
        </w:rPr>
      </w:pPr>
      <w:r w:rsidRPr="00201FE2">
        <w:rPr>
          <w:rFonts w:ascii="Tahoma" w:hAnsi="Tahoma" w:cs="Tahoma"/>
          <w:sz w:val="18"/>
          <w:szCs w:val="18"/>
        </w:rPr>
        <w:t>Les critères de présélection sont les suivants :</w:t>
      </w:r>
    </w:p>
    <w:tbl>
      <w:tblPr>
        <w:tblStyle w:val="Grilledutableau"/>
        <w:tblW w:w="9776" w:type="dxa"/>
        <w:tblLook w:val="04A0" w:firstRow="1" w:lastRow="0" w:firstColumn="1" w:lastColumn="0" w:noHBand="0" w:noVBand="1"/>
      </w:tblPr>
      <w:tblGrid>
        <w:gridCol w:w="6516"/>
        <w:gridCol w:w="1559"/>
        <w:gridCol w:w="1701"/>
      </w:tblGrid>
      <w:tr w:rsidR="00201FE2" w:rsidRPr="00201FE2" w14:paraId="06D59295" w14:textId="77777777" w:rsidTr="00820C91">
        <w:tc>
          <w:tcPr>
            <w:tcW w:w="6516" w:type="dxa"/>
            <w:hideMark/>
          </w:tcPr>
          <w:p w14:paraId="7F8F10D1" w14:textId="77777777" w:rsidR="00201FE2" w:rsidRPr="00201FE2" w:rsidRDefault="00201FE2" w:rsidP="00201FE2">
            <w:pPr>
              <w:spacing w:after="160" w:line="276" w:lineRule="auto"/>
              <w:jc w:val="both"/>
              <w:rPr>
                <w:rFonts w:ascii="Tahoma" w:hAnsi="Tahoma" w:cs="Tahoma"/>
                <w:b/>
                <w:bCs/>
                <w:sz w:val="18"/>
                <w:szCs w:val="18"/>
                <w:lang w:val="fr-TD"/>
              </w:rPr>
            </w:pPr>
            <w:r w:rsidRPr="00201FE2">
              <w:rPr>
                <w:rFonts w:ascii="Tahoma" w:hAnsi="Tahoma" w:cs="Tahoma"/>
                <w:b/>
                <w:bCs/>
                <w:sz w:val="18"/>
                <w:szCs w:val="18"/>
                <w:lang w:val="fr-TD"/>
              </w:rPr>
              <w:t>Critère</w:t>
            </w:r>
          </w:p>
        </w:tc>
        <w:tc>
          <w:tcPr>
            <w:tcW w:w="1559" w:type="dxa"/>
            <w:hideMark/>
          </w:tcPr>
          <w:p w14:paraId="2E852DBE" w14:textId="77777777" w:rsidR="00201FE2" w:rsidRPr="00201FE2" w:rsidRDefault="00201FE2" w:rsidP="00201FE2">
            <w:pPr>
              <w:spacing w:after="160" w:line="276" w:lineRule="auto"/>
              <w:jc w:val="both"/>
              <w:rPr>
                <w:rFonts w:ascii="Tahoma" w:hAnsi="Tahoma" w:cs="Tahoma"/>
                <w:b/>
                <w:bCs/>
                <w:sz w:val="18"/>
                <w:szCs w:val="18"/>
                <w:lang w:val="fr-TD"/>
              </w:rPr>
            </w:pPr>
            <w:r w:rsidRPr="00201FE2">
              <w:rPr>
                <w:rFonts w:ascii="Tahoma" w:hAnsi="Tahoma" w:cs="Tahoma"/>
                <w:b/>
                <w:bCs/>
                <w:sz w:val="18"/>
                <w:szCs w:val="18"/>
                <w:lang w:val="fr-TD"/>
              </w:rPr>
              <w:t>Barème</w:t>
            </w:r>
          </w:p>
        </w:tc>
        <w:tc>
          <w:tcPr>
            <w:tcW w:w="1701" w:type="dxa"/>
            <w:hideMark/>
          </w:tcPr>
          <w:p w14:paraId="4638A9C4" w14:textId="77777777" w:rsidR="00201FE2" w:rsidRPr="00201FE2" w:rsidRDefault="00201FE2" w:rsidP="00201FE2">
            <w:pPr>
              <w:spacing w:after="160" w:line="276" w:lineRule="auto"/>
              <w:jc w:val="both"/>
              <w:rPr>
                <w:rFonts w:ascii="Tahoma" w:hAnsi="Tahoma" w:cs="Tahoma"/>
                <w:b/>
                <w:bCs/>
                <w:sz w:val="18"/>
                <w:szCs w:val="18"/>
                <w:lang w:val="fr-TD"/>
              </w:rPr>
            </w:pPr>
            <w:r w:rsidRPr="00201FE2">
              <w:rPr>
                <w:rFonts w:ascii="Tahoma" w:hAnsi="Tahoma" w:cs="Tahoma"/>
                <w:b/>
                <w:bCs/>
                <w:sz w:val="18"/>
                <w:szCs w:val="18"/>
                <w:lang w:val="fr-TD"/>
              </w:rPr>
              <w:t>Score Obtenu</w:t>
            </w:r>
          </w:p>
        </w:tc>
      </w:tr>
      <w:tr w:rsidR="00201FE2" w:rsidRPr="00201FE2" w14:paraId="00100B3A" w14:textId="77777777" w:rsidTr="00820C91">
        <w:tc>
          <w:tcPr>
            <w:tcW w:w="6516" w:type="dxa"/>
            <w:hideMark/>
          </w:tcPr>
          <w:p w14:paraId="69312DE1" w14:textId="5E8C9697" w:rsidR="007A398D" w:rsidRPr="007A398D" w:rsidRDefault="00201FE2" w:rsidP="00D42CA9">
            <w:pPr>
              <w:spacing w:before="100" w:beforeAutospacing="1" w:after="100" w:afterAutospacing="1"/>
              <w:rPr>
                <w:rFonts w:ascii="Tahoma" w:hAnsi="Tahoma" w:cs="Tahoma"/>
                <w:sz w:val="18"/>
                <w:szCs w:val="18"/>
                <w:lang w:val="fr-TD"/>
              </w:rPr>
            </w:pPr>
            <w:r w:rsidRPr="00E91F99">
              <w:rPr>
                <w:rFonts w:ascii="Tahoma" w:hAnsi="Tahoma" w:cs="Tahoma"/>
                <w:sz w:val="18"/>
                <w:szCs w:val="18"/>
                <w:lang w:val="fr-TD"/>
              </w:rPr>
              <w:t>1.</w:t>
            </w:r>
            <w:r w:rsidR="00E91F99" w:rsidRPr="00E91F99">
              <w:rPr>
                <w:rFonts w:ascii="Tahoma" w:hAnsi="Tahoma" w:cs="Tahoma"/>
                <w:sz w:val="18"/>
                <w:szCs w:val="18"/>
                <w:lang w:val="fr-TD"/>
              </w:rPr>
              <w:t xml:space="preserve">Un diplôme </w:t>
            </w:r>
            <w:r w:rsidR="00D42CA9">
              <w:rPr>
                <w:rFonts w:ascii="Tahoma" w:hAnsi="Tahoma" w:cs="Tahoma"/>
                <w:sz w:val="18"/>
                <w:szCs w:val="18"/>
                <w:lang w:val="fr-TD"/>
              </w:rPr>
              <w:t xml:space="preserve">universitaire de niveau </w:t>
            </w:r>
            <w:r w:rsidR="00E91F99" w:rsidRPr="00E91F99">
              <w:rPr>
                <w:rFonts w:ascii="Tahoma" w:hAnsi="Tahoma" w:cs="Tahoma"/>
                <w:sz w:val="18"/>
                <w:szCs w:val="18"/>
                <w:lang w:val="fr-TD"/>
              </w:rPr>
              <w:t>(Bac+</w:t>
            </w:r>
            <w:r w:rsidR="00D42CA9">
              <w:rPr>
                <w:rFonts w:ascii="Tahoma" w:hAnsi="Tahoma" w:cs="Tahoma"/>
                <w:sz w:val="18"/>
                <w:szCs w:val="18"/>
                <w:lang w:val="fr-TD"/>
              </w:rPr>
              <w:t>4</w:t>
            </w:r>
            <w:r w:rsidR="00E91F99" w:rsidRPr="00E91F99">
              <w:rPr>
                <w:rFonts w:ascii="Tahoma" w:hAnsi="Tahoma" w:cs="Tahoma"/>
                <w:sz w:val="18"/>
                <w:szCs w:val="18"/>
                <w:lang w:val="fr-TD"/>
              </w:rPr>
              <w:t xml:space="preserve">) </w:t>
            </w:r>
            <w:r w:rsidR="00D42CA9">
              <w:rPr>
                <w:rFonts w:ascii="Tahoma" w:hAnsi="Tahoma" w:cs="Tahoma"/>
                <w:sz w:val="18"/>
                <w:szCs w:val="18"/>
                <w:lang w:val="fr-TD"/>
              </w:rPr>
              <w:t xml:space="preserve">minimum </w:t>
            </w:r>
            <w:r w:rsidR="00D42CA9" w:rsidRPr="00D42CA9">
              <w:rPr>
                <w:rFonts w:ascii="Tahoma" w:hAnsi="Tahoma" w:cs="Tahoma"/>
                <w:sz w:val="18"/>
                <w:szCs w:val="18"/>
                <w:lang w:val="fr-TD"/>
              </w:rPr>
              <w:t>en finance, économie, gestion de projet ou tout autre domaine pertinent</w:t>
            </w:r>
            <w:r w:rsidR="007A398D">
              <w:rPr>
                <w:rFonts w:ascii="Tahoma" w:hAnsi="Tahoma" w:cs="Tahoma"/>
                <w:sz w:val="18"/>
                <w:szCs w:val="18"/>
                <w:lang w:val="fr-TD"/>
              </w:rPr>
              <w:t>.</w:t>
            </w:r>
          </w:p>
          <w:p w14:paraId="4A651174" w14:textId="23198D45" w:rsidR="00201FE2" w:rsidRPr="00E91F99" w:rsidRDefault="00201FE2" w:rsidP="00E91F99">
            <w:pPr>
              <w:spacing w:line="360" w:lineRule="auto"/>
              <w:jc w:val="both"/>
              <w:rPr>
                <w:rFonts w:ascii="Tahoma" w:hAnsi="Tahoma" w:cs="Tahoma"/>
                <w:sz w:val="18"/>
                <w:szCs w:val="18"/>
                <w:lang w:val="fr-TD"/>
              </w:rPr>
            </w:pPr>
          </w:p>
        </w:tc>
        <w:tc>
          <w:tcPr>
            <w:tcW w:w="1559" w:type="dxa"/>
            <w:hideMark/>
          </w:tcPr>
          <w:p w14:paraId="225B793E" w14:textId="0CFE183D" w:rsidR="00201FE2" w:rsidRPr="00201FE2" w:rsidRDefault="00201FE2" w:rsidP="00201FE2">
            <w:pPr>
              <w:spacing w:after="160" w:line="276" w:lineRule="auto"/>
              <w:jc w:val="both"/>
              <w:rPr>
                <w:rFonts w:ascii="Tahoma" w:hAnsi="Tahoma" w:cs="Tahoma"/>
                <w:sz w:val="18"/>
                <w:szCs w:val="18"/>
                <w:lang w:val="fr-TD"/>
              </w:rPr>
            </w:pPr>
            <w:r w:rsidRPr="00201FE2">
              <w:rPr>
                <w:rFonts w:ascii="Tahoma" w:hAnsi="Tahoma" w:cs="Tahoma"/>
                <w:sz w:val="18"/>
                <w:szCs w:val="18"/>
                <w:lang w:val="fr-TD"/>
              </w:rPr>
              <w:t>Bac+</w:t>
            </w:r>
            <w:r w:rsidR="006257AC">
              <w:rPr>
                <w:rFonts w:ascii="Tahoma" w:hAnsi="Tahoma" w:cs="Tahoma"/>
                <w:sz w:val="18"/>
                <w:szCs w:val="18"/>
                <w:lang w:val="fr-TD"/>
              </w:rPr>
              <w:t xml:space="preserve">4 </w:t>
            </w:r>
            <w:r w:rsidRPr="00201FE2">
              <w:rPr>
                <w:rFonts w:ascii="Tahoma" w:hAnsi="Tahoma" w:cs="Tahoma"/>
                <w:sz w:val="18"/>
                <w:szCs w:val="18"/>
                <w:lang w:val="fr-TD"/>
              </w:rPr>
              <w:t>ou plus : 10 points</w:t>
            </w:r>
          </w:p>
        </w:tc>
        <w:tc>
          <w:tcPr>
            <w:tcW w:w="1701" w:type="dxa"/>
            <w:hideMark/>
          </w:tcPr>
          <w:p w14:paraId="2A46FACB" w14:textId="77777777" w:rsidR="00201FE2" w:rsidRPr="00201FE2" w:rsidRDefault="00201FE2" w:rsidP="00201FE2">
            <w:pPr>
              <w:spacing w:after="160" w:line="276" w:lineRule="auto"/>
              <w:jc w:val="both"/>
              <w:rPr>
                <w:rFonts w:ascii="Tahoma" w:hAnsi="Tahoma" w:cs="Tahoma"/>
                <w:sz w:val="18"/>
                <w:szCs w:val="18"/>
                <w:lang w:val="fr-TD"/>
              </w:rPr>
            </w:pPr>
            <w:r w:rsidRPr="00201FE2">
              <w:rPr>
                <w:rFonts w:ascii="Tahoma" w:hAnsi="Tahoma" w:cs="Tahoma"/>
                <w:sz w:val="18"/>
                <w:szCs w:val="18"/>
                <w:lang w:val="fr-TD"/>
              </w:rPr>
              <w:t>/10</w:t>
            </w:r>
          </w:p>
        </w:tc>
      </w:tr>
      <w:tr w:rsidR="00201FE2" w:rsidRPr="00201FE2" w14:paraId="3115FAB0" w14:textId="77777777" w:rsidTr="00820C91">
        <w:tc>
          <w:tcPr>
            <w:tcW w:w="6516" w:type="dxa"/>
            <w:hideMark/>
          </w:tcPr>
          <w:p w14:paraId="028B5C82" w14:textId="3BB67B71" w:rsidR="00201FE2" w:rsidRPr="00E91F99" w:rsidRDefault="00201FE2" w:rsidP="00E91F99">
            <w:pPr>
              <w:spacing w:line="360" w:lineRule="auto"/>
              <w:jc w:val="both"/>
              <w:rPr>
                <w:rFonts w:ascii="Arial" w:hAnsi="Arial" w:cs="Arial"/>
              </w:rPr>
            </w:pPr>
            <w:r w:rsidRPr="00C66785">
              <w:rPr>
                <w:rFonts w:ascii="Tahoma" w:hAnsi="Tahoma" w:cs="Tahoma"/>
                <w:sz w:val="18"/>
                <w:szCs w:val="18"/>
                <w:lang w:val="fr-TD"/>
              </w:rPr>
              <w:t>2. Expérience</w:t>
            </w:r>
            <w:r w:rsidR="00E91F99">
              <w:rPr>
                <w:rFonts w:ascii="Tahoma" w:hAnsi="Tahoma" w:cs="Tahoma"/>
                <w:sz w:val="18"/>
                <w:szCs w:val="18"/>
                <w:lang w:val="fr-TD"/>
              </w:rPr>
              <w:t xml:space="preserve"> </w:t>
            </w:r>
            <w:r w:rsidR="00E91F99" w:rsidRPr="00E91F99">
              <w:rPr>
                <w:rFonts w:ascii="Tahoma" w:hAnsi="Tahoma" w:cs="Tahoma"/>
                <w:sz w:val="18"/>
                <w:szCs w:val="18"/>
                <w:lang w:val="fr-TD"/>
              </w:rPr>
              <w:t xml:space="preserve">professionnelle </w:t>
            </w:r>
            <w:r w:rsidR="006257AC" w:rsidRPr="006257AC">
              <w:rPr>
                <w:rFonts w:ascii="Tahoma" w:hAnsi="Tahoma" w:cs="Tahoma"/>
                <w:sz w:val="18"/>
                <w:szCs w:val="18"/>
                <w:lang w:val="fr-TD"/>
              </w:rPr>
              <w:t>confirmée dans la conception ou l’analyse de systèmes de paiement en milieu rural, notamment dans des projets financés par des partenaires au développement (FIDA, UE, Banque mondiale, BAD, etc.) ;</w:t>
            </w:r>
          </w:p>
        </w:tc>
        <w:tc>
          <w:tcPr>
            <w:tcW w:w="1559" w:type="dxa"/>
            <w:hideMark/>
          </w:tcPr>
          <w:p w14:paraId="37688FB1" w14:textId="052220D3" w:rsidR="00201FE2" w:rsidRPr="00201FE2" w:rsidRDefault="00201FE2" w:rsidP="00201FE2">
            <w:pPr>
              <w:spacing w:after="160" w:line="276" w:lineRule="auto"/>
              <w:jc w:val="both"/>
              <w:rPr>
                <w:rFonts w:ascii="Tahoma" w:hAnsi="Tahoma" w:cs="Tahoma"/>
                <w:sz w:val="18"/>
                <w:szCs w:val="18"/>
                <w:lang w:val="fr-TD"/>
              </w:rPr>
            </w:pPr>
            <w:r w:rsidRPr="00201FE2">
              <w:rPr>
                <w:rFonts w:ascii="Tahoma" w:hAnsi="Tahoma" w:cs="Tahoma"/>
                <w:sz w:val="18"/>
                <w:szCs w:val="18"/>
                <w:lang w:val="fr-TD"/>
              </w:rPr>
              <w:t xml:space="preserve">&lt; </w:t>
            </w:r>
            <w:r w:rsidR="006257AC">
              <w:rPr>
                <w:rFonts w:ascii="Tahoma" w:hAnsi="Tahoma" w:cs="Tahoma"/>
                <w:sz w:val="18"/>
                <w:szCs w:val="18"/>
                <w:lang w:val="fr-TD"/>
              </w:rPr>
              <w:t>5</w:t>
            </w:r>
            <w:r w:rsidRPr="00201FE2">
              <w:rPr>
                <w:rFonts w:ascii="Tahoma" w:hAnsi="Tahoma" w:cs="Tahoma"/>
                <w:sz w:val="18"/>
                <w:szCs w:val="18"/>
                <w:lang w:val="fr-TD"/>
              </w:rPr>
              <w:t xml:space="preserve"> ans : 0 pt</w:t>
            </w:r>
            <w:r w:rsidRPr="00201FE2">
              <w:rPr>
                <w:rFonts w:ascii="Tahoma" w:hAnsi="Tahoma" w:cs="Tahoma"/>
                <w:sz w:val="18"/>
                <w:szCs w:val="18"/>
                <w:lang w:val="fr-TD"/>
              </w:rPr>
              <w:br/>
            </w:r>
            <w:r w:rsidR="006257AC">
              <w:rPr>
                <w:rFonts w:ascii="Tahoma" w:hAnsi="Tahoma" w:cs="Tahoma"/>
                <w:sz w:val="18"/>
                <w:szCs w:val="18"/>
                <w:lang w:val="fr-TD"/>
              </w:rPr>
              <w:t>5</w:t>
            </w:r>
            <w:r w:rsidRPr="00201FE2">
              <w:rPr>
                <w:rFonts w:ascii="Tahoma" w:hAnsi="Tahoma" w:cs="Tahoma"/>
                <w:sz w:val="18"/>
                <w:szCs w:val="18"/>
                <w:lang w:val="fr-TD"/>
              </w:rPr>
              <w:t xml:space="preserve"> ans : 10 pts</w:t>
            </w:r>
            <w:r w:rsidRPr="00201FE2">
              <w:rPr>
                <w:rFonts w:ascii="Tahoma" w:hAnsi="Tahoma" w:cs="Tahoma"/>
                <w:sz w:val="18"/>
                <w:szCs w:val="18"/>
                <w:lang w:val="fr-TD"/>
              </w:rPr>
              <w:br/>
              <w:t>&gt;</w:t>
            </w:r>
            <w:r w:rsidR="006257AC">
              <w:rPr>
                <w:rFonts w:ascii="Tahoma" w:hAnsi="Tahoma" w:cs="Tahoma"/>
                <w:sz w:val="18"/>
                <w:szCs w:val="18"/>
                <w:lang w:val="fr-TD"/>
              </w:rPr>
              <w:t>5</w:t>
            </w:r>
            <w:r w:rsidRPr="00201FE2">
              <w:rPr>
                <w:rFonts w:ascii="Tahoma" w:hAnsi="Tahoma" w:cs="Tahoma"/>
                <w:sz w:val="18"/>
                <w:szCs w:val="18"/>
                <w:lang w:val="fr-TD"/>
              </w:rPr>
              <w:t xml:space="preserve"> ans : +1 pt/an (max 1</w:t>
            </w:r>
            <w:r w:rsidR="00FB3093">
              <w:rPr>
                <w:rFonts w:ascii="Tahoma" w:hAnsi="Tahoma" w:cs="Tahoma"/>
                <w:sz w:val="18"/>
                <w:szCs w:val="18"/>
                <w:lang w:val="fr-TD"/>
              </w:rPr>
              <w:t>5</w:t>
            </w:r>
            <w:r w:rsidRPr="00201FE2">
              <w:rPr>
                <w:rFonts w:ascii="Tahoma" w:hAnsi="Tahoma" w:cs="Tahoma"/>
                <w:sz w:val="18"/>
                <w:szCs w:val="18"/>
                <w:lang w:val="fr-TD"/>
              </w:rPr>
              <w:t xml:space="preserve"> pts)</w:t>
            </w:r>
          </w:p>
        </w:tc>
        <w:tc>
          <w:tcPr>
            <w:tcW w:w="1701" w:type="dxa"/>
            <w:hideMark/>
          </w:tcPr>
          <w:p w14:paraId="415D3DBB" w14:textId="28DF8A40" w:rsidR="00201FE2" w:rsidRPr="00201FE2" w:rsidRDefault="00201FE2" w:rsidP="00201FE2">
            <w:pPr>
              <w:spacing w:after="160" w:line="276" w:lineRule="auto"/>
              <w:jc w:val="both"/>
              <w:rPr>
                <w:rFonts w:ascii="Tahoma" w:hAnsi="Tahoma" w:cs="Tahoma"/>
                <w:sz w:val="18"/>
                <w:szCs w:val="18"/>
                <w:lang w:val="fr-TD"/>
              </w:rPr>
            </w:pPr>
            <w:r w:rsidRPr="00201FE2">
              <w:rPr>
                <w:rFonts w:ascii="Tahoma" w:hAnsi="Tahoma" w:cs="Tahoma"/>
                <w:sz w:val="18"/>
                <w:szCs w:val="18"/>
                <w:lang w:val="fr-TD"/>
              </w:rPr>
              <w:t>/1</w:t>
            </w:r>
            <w:r w:rsidR="00FB3093">
              <w:rPr>
                <w:rFonts w:ascii="Tahoma" w:hAnsi="Tahoma" w:cs="Tahoma"/>
                <w:sz w:val="18"/>
                <w:szCs w:val="18"/>
                <w:lang w:val="fr-TD"/>
              </w:rPr>
              <w:t>5</w:t>
            </w:r>
          </w:p>
        </w:tc>
      </w:tr>
      <w:tr w:rsidR="00201FE2" w:rsidRPr="00201FE2" w14:paraId="3E7AF8FA" w14:textId="77777777" w:rsidTr="00820C91">
        <w:tc>
          <w:tcPr>
            <w:tcW w:w="6516" w:type="dxa"/>
            <w:hideMark/>
          </w:tcPr>
          <w:p w14:paraId="333EFDEA" w14:textId="3D990C67" w:rsidR="007A398D" w:rsidRPr="00201FE2" w:rsidRDefault="00201FE2" w:rsidP="00201FE2">
            <w:pPr>
              <w:spacing w:after="160" w:line="276" w:lineRule="auto"/>
              <w:jc w:val="both"/>
              <w:rPr>
                <w:rFonts w:ascii="Tahoma" w:hAnsi="Tahoma" w:cs="Tahoma"/>
                <w:sz w:val="18"/>
                <w:szCs w:val="18"/>
                <w:lang w:val="fr-TD"/>
              </w:rPr>
            </w:pPr>
            <w:r w:rsidRPr="00201FE2">
              <w:rPr>
                <w:rFonts w:ascii="Tahoma" w:hAnsi="Tahoma" w:cs="Tahoma"/>
                <w:sz w:val="18"/>
                <w:szCs w:val="18"/>
                <w:lang w:val="fr-TD"/>
              </w:rPr>
              <w:t xml:space="preserve">3. Expériences similaires </w:t>
            </w:r>
            <w:r w:rsidR="006257AC">
              <w:rPr>
                <w:rFonts w:ascii="Tahoma" w:hAnsi="Tahoma" w:cs="Tahoma"/>
                <w:sz w:val="18"/>
                <w:szCs w:val="18"/>
                <w:lang w:val="fr-TD"/>
              </w:rPr>
              <w:t>d</w:t>
            </w:r>
            <w:r w:rsidR="007A398D">
              <w:rPr>
                <w:rFonts w:ascii="Tahoma" w:hAnsi="Tahoma" w:cs="Tahoma"/>
                <w:sz w:val="18"/>
                <w:szCs w:val="18"/>
                <w:lang w:val="fr-TD"/>
              </w:rPr>
              <w:t xml:space="preserve">es </w:t>
            </w:r>
            <w:r w:rsidR="007A398D" w:rsidRPr="007A398D">
              <w:rPr>
                <w:rFonts w:ascii="Tahoma" w:hAnsi="Tahoma" w:cs="Tahoma"/>
                <w:sz w:val="18"/>
                <w:szCs w:val="18"/>
              </w:rPr>
              <w:t>études comparatives</w:t>
            </w:r>
            <w:r w:rsidR="007A398D">
              <w:rPr>
                <w:rFonts w:ascii="Tahoma" w:hAnsi="Tahoma" w:cs="Tahoma"/>
                <w:sz w:val="18"/>
                <w:szCs w:val="18"/>
              </w:rPr>
              <w:t xml:space="preserve"> </w:t>
            </w:r>
            <w:r w:rsidR="007A398D" w:rsidRPr="007A398D">
              <w:rPr>
                <w:rFonts w:ascii="Tahoma" w:hAnsi="Tahoma" w:cs="Tahoma"/>
                <w:sz w:val="18"/>
                <w:szCs w:val="18"/>
              </w:rPr>
              <w:t>de mode de paiement (public / privé), étude pour des projets de développements, etc.</w:t>
            </w:r>
            <w:r w:rsidR="006257AC">
              <w:rPr>
                <w:rFonts w:ascii="Tahoma" w:hAnsi="Tahoma" w:cs="Tahoma"/>
                <w:sz w:val="18"/>
                <w:szCs w:val="18"/>
                <w:lang w:val="fr-TD"/>
              </w:rPr>
              <w:t xml:space="preserve"> (</w:t>
            </w:r>
            <w:r>
              <w:rPr>
                <w:rFonts w:ascii="Tahoma" w:hAnsi="Tahoma" w:cs="Tahoma"/>
                <w:sz w:val="18"/>
                <w:szCs w:val="18"/>
                <w:lang w:val="fr-TD"/>
              </w:rPr>
              <w:t>preuve de la prestation à joindre au dossier)</w:t>
            </w:r>
          </w:p>
        </w:tc>
        <w:tc>
          <w:tcPr>
            <w:tcW w:w="1559" w:type="dxa"/>
            <w:hideMark/>
          </w:tcPr>
          <w:p w14:paraId="129FDAE5" w14:textId="7EADA4EC" w:rsidR="00201FE2" w:rsidRPr="00201FE2" w:rsidRDefault="006257AC" w:rsidP="00201FE2">
            <w:pPr>
              <w:spacing w:after="160" w:line="276" w:lineRule="auto"/>
              <w:jc w:val="both"/>
              <w:rPr>
                <w:rFonts w:ascii="Tahoma" w:hAnsi="Tahoma" w:cs="Tahoma"/>
                <w:sz w:val="18"/>
                <w:szCs w:val="18"/>
                <w:lang w:val="fr-TD"/>
              </w:rPr>
            </w:pPr>
            <w:r>
              <w:rPr>
                <w:rFonts w:ascii="Tahoma" w:hAnsi="Tahoma" w:cs="Tahoma"/>
                <w:sz w:val="18"/>
                <w:szCs w:val="18"/>
                <w:lang w:val="fr-TD"/>
              </w:rPr>
              <w:t>2</w:t>
            </w:r>
            <w:r w:rsidR="00201FE2" w:rsidRPr="00201FE2">
              <w:rPr>
                <w:rFonts w:ascii="Tahoma" w:hAnsi="Tahoma" w:cs="Tahoma"/>
                <w:sz w:val="18"/>
                <w:szCs w:val="18"/>
                <w:lang w:val="fr-TD"/>
              </w:rPr>
              <w:t>0 points par expérience similaire (max 60 points)</w:t>
            </w:r>
          </w:p>
        </w:tc>
        <w:tc>
          <w:tcPr>
            <w:tcW w:w="1701" w:type="dxa"/>
            <w:hideMark/>
          </w:tcPr>
          <w:p w14:paraId="199D315A" w14:textId="77777777" w:rsidR="00201FE2" w:rsidRPr="00201FE2" w:rsidRDefault="00201FE2" w:rsidP="00201FE2">
            <w:pPr>
              <w:spacing w:after="160" w:line="276" w:lineRule="auto"/>
              <w:jc w:val="both"/>
              <w:rPr>
                <w:rFonts w:ascii="Tahoma" w:hAnsi="Tahoma" w:cs="Tahoma"/>
                <w:sz w:val="18"/>
                <w:szCs w:val="18"/>
                <w:lang w:val="fr-TD"/>
              </w:rPr>
            </w:pPr>
            <w:r w:rsidRPr="00201FE2">
              <w:rPr>
                <w:rFonts w:ascii="Tahoma" w:hAnsi="Tahoma" w:cs="Tahoma"/>
                <w:sz w:val="18"/>
                <w:szCs w:val="18"/>
                <w:lang w:val="fr-TD"/>
              </w:rPr>
              <w:t>/60</w:t>
            </w:r>
          </w:p>
        </w:tc>
      </w:tr>
      <w:tr w:rsidR="00201FE2" w:rsidRPr="00201FE2" w14:paraId="06EA96F6" w14:textId="77777777" w:rsidTr="00820C91">
        <w:tc>
          <w:tcPr>
            <w:tcW w:w="6516" w:type="dxa"/>
            <w:hideMark/>
          </w:tcPr>
          <w:p w14:paraId="01344534" w14:textId="697E4583" w:rsidR="00D23964" w:rsidRPr="00D23964" w:rsidRDefault="00201FE2" w:rsidP="00D23964">
            <w:pPr>
              <w:spacing w:line="360" w:lineRule="auto"/>
              <w:jc w:val="both"/>
              <w:rPr>
                <w:rFonts w:ascii="Arial" w:hAnsi="Arial" w:cs="Arial"/>
              </w:rPr>
            </w:pPr>
            <w:r w:rsidRPr="00D23964">
              <w:rPr>
                <w:rFonts w:ascii="Tahoma" w:hAnsi="Tahoma" w:cs="Tahoma"/>
                <w:sz w:val="18"/>
                <w:szCs w:val="18"/>
                <w:lang w:val="fr-TD"/>
              </w:rPr>
              <w:t xml:space="preserve">4. Connaissance </w:t>
            </w:r>
            <w:r w:rsidR="00D23964" w:rsidRPr="00D23964">
              <w:rPr>
                <w:rFonts w:ascii="Tahoma" w:hAnsi="Tahoma" w:cs="Tahoma"/>
                <w:sz w:val="18"/>
                <w:szCs w:val="18"/>
                <w:lang w:val="fr-TD"/>
              </w:rPr>
              <w:t>des</w:t>
            </w:r>
            <w:r w:rsidR="006257AC">
              <w:rPr>
                <w:rFonts w:ascii="Tahoma" w:hAnsi="Tahoma" w:cs="Tahoma"/>
                <w:sz w:val="18"/>
                <w:szCs w:val="18"/>
                <w:lang w:val="fr-TD"/>
              </w:rPr>
              <w:t xml:space="preserve"> procédures bailleurs (</w:t>
            </w:r>
            <w:r w:rsidR="006257AC" w:rsidRPr="006257AC">
              <w:rPr>
                <w:rFonts w:ascii="Tahoma" w:hAnsi="Tahoma" w:cs="Tahoma"/>
                <w:sz w:val="18"/>
                <w:szCs w:val="18"/>
                <w:lang w:val="fr-TD"/>
              </w:rPr>
              <w:t>FIDA, UE, Banque mondiale, BA</w:t>
            </w:r>
            <w:r w:rsidR="006257AC">
              <w:rPr>
                <w:rFonts w:ascii="Tahoma" w:hAnsi="Tahoma" w:cs="Tahoma"/>
                <w:sz w:val="18"/>
                <w:szCs w:val="18"/>
                <w:lang w:val="fr-TD"/>
              </w:rPr>
              <w:t>)</w:t>
            </w:r>
          </w:p>
          <w:p w14:paraId="0EAE59E7" w14:textId="4D4F8DCB" w:rsidR="00201FE2" w:rsidRPr="00201FE2" w:rsidRDefault="00201FE2" w:rsidP="00201FE2">
            <w:pPr>
              <w:spacing w:after="160" w:line="276" w:lineRule="auto"/>
              <w:jc w:val="both"/>
              <w:rPr>
                <w:rFonts w:ascii="Tahoma" w:hAnsi="Tahoma" w:cs="Tahoma"/>
                <w:sz w:val="18"/>
                <w:szCs w:val="18"/>
                <w:lang w:val="fr-TD"/>
              </w:rPr>
            </w:pPr>
          </w:p>
        </w:tc>
        <w:tc>
          <w:tcPr>
            <w:tcW w:w="1559" w:type="dxa"/>
            <w:hideMark/>
          </w:tcPr>
          <w:p w14:paraId="51BBA68B" w14:textId="4355B19A" w:rsidR="00201FE2" w:rsidRPr="00201FE2" w:rsidRDefault="00201FE2" w:rsidP="00201FE2">
            <w:pPr>
              <w:spacing w:after="160" w:line="276" w:lineRule="auto"/>
              <w:jc w:val="both"/>
              <w:rPr>
                <w:rFonts w:ascii="Tahoma" w:hAnsi="Tahoma" w:cs="Tahoma"/>
                <w:sz w:val="18"/>
                <w:szCs w:val="18"/>
                <w:lang w:val="fr-TD"/>
              </w:rPr>
            </w:pPr>
            <w:r w:rsidRPr="00201FE2">
              <w:rPr>
                <w:rFonts w:ascii="Tahoma" w:hAnsi="Tahoma" w:cs="Tahoma"/>
                <w:sz w:val="18"/>
                <w:szCs w:val="18"/>
                <w:lang w:val="fr-TD"/>
              </w:rPr>
              <w:t>Connaissance démontrée : 1</w:t>
            </w:r>
            <w:r w:rsidR="00DE689D">
              <w:rPr>
                <w:rFonts w:ascii="Tahoma" w:hAnsi="Tahoma" w:cs="Tahoma"/>
                <w:sz w:val="18"/>
                <w:szCs w:val="18"/>
                <w:lang w:val="fr-TD"/>
              </w:rPr>
              <w:t>0</w:t>
            </w:r>
            <w:r w:rsidRPr="00201FE2">
              <w:rPr>
                <w:rFonts w:ascii="Tahoma" w:hAnsi="Tahoma" w:cs="Tahoma"/>
                <w:sz w:val="18"/>
                <w:szCs w:val="18"/>
                <w:lang w:val="fr-TD"/>
              </w:rPr>
              <w:t xml:space="preserve"> points</w:t>
            </w:r>
          </w:p>
        </w:tc>
        <w:tc>
          <w:tcPr>
            <w:tcW w:w="1701" w:type="dxa"/>
            <w:hideMark/>
          </w:tcPr>
          <w:p w14:paraId="26F1021B" w14:textId="77777777" w:rsidR="00201FE2" w:rsidRPr="00201FE2" w:rsidRDefault="00201FE2" w:rsidP="00201FE2">
            <w:pPr>
              <w:spacing w:after="160" w:line="276" w:lineRule="auto"/>
              <w:jc w:val="both"/>
              <w:rPr>
                <w:rFonts w:ascii="Tahoma" w:hAnsi="Tahoma" w:cs="Tahoma"/>
                <w:sz w:val="18"/>
                <w:szCs w:val="18"/>
                <w:lang w:val="fr-TD"/>
              </w:rPr>
            </w:pPr>
            <w:r w:rsidRPr="00201FE2">
              <w:rPr>
                <w:rFonts w:ascii="Tahoma" w:hAnsi="Tahoma" w:cs="Tahoma"/>
                <w:sz w:val="18"/>
                <w:szCs w:val="18"/>
                <w:lang w:val="fr-TD"/>
              </w:rPr>
              <w:t>/10</w:t>
            </w:r>
          </w:p>
        </w:tc>
      </w:tr>
      <w:tr w:rsidR="00201FE2" w:rsidRPr="00201FE2" w14:paraId="02FDB84B" w14:textId="77777777" w:rsidTr="00820C91">
        <w:tc>
          <w:tcPr>
            <w:tcW w:w="6516" w:type="dxa"/>
            <w:hideMark/>
          </w:tcPr>
          <w:p w14:paraId="7AE10C17" w14:textId="78BBE12E" w:rsidR="00C66785" w:rsidRPr="00C66785" w:rsidRDefault="00201FE2" w:rsidP="00C66785">
            <w:pPr>
              <w:spacing w:line="360" w:lineRule="auto"/>
              <w:jc w:val="both"/>
              <w:rPr>
                <w:rFonts w:ascii="Arial" w:hAnsi="Arial" w:cs="Arial"/>
              </w:rPr>
            </w:pPr>
            <w:r w:rsidRPr="00C66785">
              <w:rPr>
                <w:rFonts w:ascii="Tahoma" w:hAnsi="Tahoma" w:cs="Tahoma"/>
                <w:sz w:val="18"/>
                <w:szCs w:val="18"/>
                <w:lang w:val="fr-TD"/>
              </w:rPr>
              <w:t xml:space="preserve">5. </w:t>
            </w:r>
            <w:r w:rsidR="00C66785" w:rsidRPr="00C66785">
              <w:rPr>
                <w:rFonts w:ascii="Tahoma" w:hAnsi="Tahoma" w:cs="Tahoma"/>
                <w:sz w:val="18"/>
                <w:szCs w:val="18"/>
                <w:lang w:val="fr-TD"/>
              </w:rPr>
              <w:t xml:space="preserve">Connaissance </w:t>
            </w:r>
            <w:r w:rsidR="00DE689D">
              <w:rPr>
                <w:rFonts w:ascii="Tahoma" w:hAnsi="Tahoma" w:cs="Tahoma"/>
                <w:sz w:val="18"/>
                <w:szCs w:val="18"/>
                <w:lang w:val="fr-TD"/>
              </w:rPr>
              <w:t>de la zone d’intervention du Projet</w:t>
            </w:r>
          </w:p>
          <w:p w14:paraId="70AE03FA" w14:textId="2699D6BA" w:rsidR="00201FE2" w:rsidRPr="00201FE2" w:rsidRDefault="00201FE2" w:rsidP="00201FE2">
            <w:pPr>
              <w:spacing w:after="160" w:line="276" w:lineRule="auto"/>
              <w:jc w:val="both"/>
              <w:rPr>
                <w:rFonts w:ascii="Tahoma" w:hAnsi="Tahoma" w:cs="Tahoma"/>
                <w:sz w:val="18"/>
                <w:szCs w:val="18"/>
                <w:lang w:val="fr-TD"/>
              </w:rPr>
            </w:pPr>
          </w:p>
        </w:tc>
        <w:tc>
          <w:tcPr>
            <w:tcW w:w="1559" w:type="dxa"/>
            <w:hideMark/>
          </w:tcPr>
          <w:p w14:paraId="5EDB78E4" w14:textId="77777777" w:rsidR="00201FE2" w:rsidRPr="00201FE2" w:rsidRDefault="00201FE2" w:rsidP="00201FE2">
            <w:pPr>
              <w:spacing w:after="160" w:line="276" w:lineRule="auto"/>
              <w:jc w:val="both"/>
              <w:rPr>
                <w:rFonts w:ascii="Tahoma" w:hAnsi="Tahoma" w:cs="Tahoma"/>
                <w:sz w:val="18"/>
                <w:szCs w:val="18"/>
                <w:lang w:val="fr-TD"/>
              </w:rPr>
            </w:pPr>
            <w:r w:rsidRPr="00201FE2">
              <w:rPr>
                <w:rFonts w:ascii="Tahoma" w:hAnsi="Tahoma" w:cs="Tahoma"/>
                <w:sz w:val="18"/>
                <w:szCs w:val="18"/>
                <w:lang w:val="fr-TD"/>
              </w:rPr>
              <w:t>Oui : 5 points</w:t>
            </w:r>
          </w:p>
        </w:tc>
        <w:tc>
          <w:tcPr>
            <w:tcW w:w="1701" w:type="dxa"/>
            <w:hideMark/>
          </w:tcPr>
          <w:p w14:paraId="24B9B266" w14:textId="77777777" w:rsidR="00201FE2" w:rsidRPr="00201FE2" w:rsidRDefault="00201FE2" w:rsidP="00201FE2">
            <w:pPr>
              <w:spacing w:after="160" w:line="276" w:lineRule="auto"/>
              <w:jc w:val="both"/>
              <w:rPr>
                <w:rFonts w:ascii="Tahoma" w:hAnsi="Tahoma" w:cs="Tahoma"/>
                <w:sz w:val="18"/>
                <w:szCs w:val="18"/>
                <w:lang w:val="fr-TD"/>
              </w:rPr>
            </w:pPr>
            <w:r w:rsidRPr="00201FE2">
              <w:rPr>
                <w:rFonts w:ascii="Tahoma" w:hAnsi="Tahoma" w:cs="Tahoma"/>
                <w:sz w:val="18"/>
                <w:szCs w:val="18"/>
                <w:lang w:val="fr-TD"/>
              </w:rPr>
              <w:t>/5</w:t>
            </w:r>
          </w:p>
        </w:tc>
      </w:tr>
    </w:tbl>
    <w:p w14:paraId="791DD50C" w14:textId="77777777" w:rsidR="00C66785" w:rsidRDefault="00C66785" w:rsidP="00360495">
      <w:pPr>
        <w:spacing w:line="276" w:lineRule="auto"/>
        <w:jc w:val="both"/>
        <w:rPr>
          <w:rFonts w:ascii="Tahoma" w:hAnsi="Tahoma" w:cs="Tahoma"/>
          <w:sz w:val="18"/>
          <w:szCs w:val="18"/>
        </w:rPr>
      </w:pPr>
    </w:p>
    <w:p w14:paraId="065BDF28" w14:textId="339F50F2" w:rsidR="00A06324" w:rsidRPr="00201FE2" w:rsidRDefault="00A06324" w:rsidP="00617BB7">
      <w:pPr>
        <w:suppressAutoHyphens/>
        <w:spacing w:line="240" w:lineRule="auto"/>
        <w:jc w:val="both"/>
        <w:rPr>
          <w:rFonts w:ascii="Tahoma" w:hAnsi="Tahoma" w:cs="Tahoma"/>
          <w:sz w:val="18"/>
          <w:szCs w:val="18"/>
        </w:rPr>
      </w:pPr>
      <w:r w:rsidRPr="00201FE2">
        <w:rPr>
          <w:rFonts w:ascii="Tahoma" w:hAnsi="Tahoma" w:cs="Tahoma"/>
          <w:sz w:val="18"/>
          <w:szCs w:val="18"/>
        </w:rPr>
        <w:t xml:space="preserve">Toute demande d’éclaircissements concernant le présent appel à manifestation d'intérêt devra être envoyée par courriel à l’adresse ci-après : </w:t>
      </w:r>
      <w:r w:rsidRPr="00201FE2">
        <w:rPr>
          <w:rFonts w:ascii="Tahoma" w:eastAsia="Calibri" w:hAnsi="Tahoma" w:cs="Tahoma"/>
          <w:sz w:val="18"/>
          <w:szCs w:val="18"/>
        </w:rPr>
        <w:t xml:space="preserve">Coordination </w:t>
      </w:r>
      <w:r w:rsidR="004C12C5">
        <w:rPr>
          <w:rFonts w:ascii="Tahoma" w:eastAsia="Calibri" w:hAnsi="Tahoma" w:cs="Tahoma"/>
          <w:sz w:val="18"/>
          <w:szCs w:val="18"/>
        </w:rPr>
        <w:t xml:space="preserve">nationale </w:t>
      </w:r>
      <w:r w:rsidRPr="00201FE2">
        <w:rPr>
          <w:rFonts w:ascii="Tahoma" w:eastAsia="Calibri" w:hAnsi="Tahoma" w:cs="Tahoma"/>
          <w:sz w:val="18"/>
          <w:szCs w:val="18"/>
        </w:rPr>
        <w:t xml:space="preserve">du RENFORT à Dourbali, Tel : (235) </w:t>
      </w:r>
      <w:r w:rsidR="00B93F67" w:rsidRPr="00201FE2">
        <w:rPr>
          <w:rFonts w:ascii="Tahoma" w:eastAsia="Calibri" w:hAnsi="Tahoma" w:cs="Tahoma"/>
          <w:sz w:val="18"/>
          <w:szCs w:val="18"/>
        </w:rPr>
        <w:t>6</w:t>
      </w:r>
      <w:r w:rsidR="004C12C5">
        <w:rPr>
          <w:rFonts w:ascii="Tahoma" w:eastAsia="Calibri" w:hAnsi="Tahoma" w:cs="Tahoma"/>
          <w:sz w:val="18"/>
          <w:szCs w:val="18"/>
        </w:rPr>
        <w:t xml:space="preserve">8080450 </w:t>
      </w:r>
      <w:r w:rsidR="00B93F67" w:rsidRPr="00201FE2">
        <w:rPr>
          <w:rFonts w:ascii="Tahoma" w:eastAsia="Calibri" w:hAnsi="Tahoma" w:cs="Tahoma"/>
          <w:sz w:val="18"/>
          <w:szCs w:val="18"/>
        </w:rPr>
        <w:t>/ 93 76 28 38</w:t>
      </w:r>
      <w:r w:rsidRPr="00201FE2">
        <w:rPr>
          <w:rFonts w:ascii="Tahoma" w:eastAsia="Calibri" w:hAnsi="Tahoma" w:cs="Tahoma"/>
          <w:sz w:val="18"/>
          <w:szCs w:val="18"/>
        </w:rPr>
        <w:t xml:space="preserve">, Email : </w:t>
      </w:r>
      <w:hyperlink r:id="rId9" w:history="1">
        <w:r w:rsidR="00B93F67" w:rsidRPr="00201FE2">
          <w:rPr>
            <w:rStyle w:val="Lienhypertexte"/>
            <w:rFonts w:ascii="Tahoma" w:eastAsia="Calibri" w:hAnsi="Tahoma" w:cs="Tahoma"/>
            <w:sz w:val="18"/>
            <w:szCs w:val="18"/>
          </w:rPr>
          <w:t>contact.renfort@fidatchad.org</w:t>
        </w:r>
      </w:hyperlink>
      <w:r w:rsidRPr="00201FE2">
        <w:rPr>
          <w:rFonts w:ascii="Tahoma" w:eastAsia="Calibri" w:hAnsi="Tahoma" w:cs="Tahoma"/>
          <w:sz w:val="18"/>
          <w:szCs w:val="18"/>
        </w:rPr>
        <w:t>,</w:t>
      </w:r>
      <w:r w:rsidRPr="00201FE2">
        <w:rPr>
          <w:rFonts w:ascii="Tahoma" w:hAnsi="Tahoma" w:cs="Tahoma"/>
          <w:sz w:val="18"/>
          <w:szCs w:val="18"/>
        </w:rPr>
        <w:t xml:space="preserve"> au plus tard</w:t>
      </w:r>
      <w:r w:rsidR="00B93F67" w:rsidRPr="00201FE2">
        <w:rPr>
          <w:rFonts w:ascii="Tahoma" w:hAnsi="Tahoma" w:cs="Tahoma"/>
          <w:sz w:val="18"/>
          <w:szCs w:val="18"/>
        </w:rPr>
        <w:t>……………………</w:t>
      </w:r>
      <w:r w:rsidR="00B47D85">
        <w:rPr>
          <w:rFonts w:ascii="Tahoma" w:hAnsi="Tahoma" w:cs="Tahoma"/>
          <w:sz w:val="18"/>
          <w:szCs w:val="18"/>
        </w:rPr>
        <w:t>………………………………</w:t>
      </w:r>
      <w:proofErr w:type="gramStart"/>
      <w:r w:rsidR="00B47D85">
        <w:rPr>
          <w:rFonts w:ascii="Tahoma" w:hAnsi="Tahoma" w:cs="Tahoma"/>
          <w:sz w:val="18"/>
          <w:szCs w:val="18"/>
        </w:rPr>
        <w:t>…….</w:t>
      </w:r>
      <w:proofErr w:type="gramEnd"/>
      <w:r w:rsidR="00B47D85">
        <w:rPr>
          <w:rFonts w:ascii="Tahoma" w:hAnsi="Tahoma" w:cs="Tahoma"/>
          <w:sz w:val="18"/>
          <w:szCs w:val="18"/>
        </w:rPr>
        <w:t>.</w:t>
      </w:r>
    </w:p>
    <w:p w14:paraId="20DEBDA3" w14:textId="7E44F8A1" w:rsidR="004C12C5" w:rsidRDefault="00A06324" w:rsidP="004C12C5">
      <w:pPr>
        <w:spacing w:after="60" w:line="276" w:lineRule="auto"/>
        <w:rPr>
          <w:rFonts w:ascii="Tahoma" w:hAnsi="Tahoma" w:cs="Tahoma"/>
          <w:sz w:val="18"/>
          <w:szCs w:val="18"/>
        </w:rPr>
      </w:pPr>
      <w:r w:rsidRPr="00201FE2">
        <w:rPr>
          <w:rFonts w:ascii="Tahoma" w:hAnsi="Tahoma" w:cs="Tahoma"/>
          <w:sz w:val="18"/>
          <w:szCs w:val="18"/>
        </w:rPr>
        <w:t>Les manifestations d'intérêt doivent être remises sous forme écrite</w:t>
      </w:r>
      <w:r w:rsidR="00B93F67" w:rsidRPr="00201FE2">
        <w:rPr>
          <w:rFonts w:ascii="Tahoma" w:hAnsi="Tahoma" w:cs="Tahoma"/>
          <w:sz w:val="18"/>
          <w:szCs w:val="18"/>
        </w:rPr>
        <w:t xml:space="preserve"> et déposées</w:t>
      </w:r>
      <w:r w:rsidRPr="00201FE2">
        <w:rPr>
          <w:rFonts w:ascii="Tahoma" w:hAnsi="Tahoma" w:cs="Tahoma"/>
          <w:sz w:val="18"/>
          <w:szCs w:val="18"/>
        </w:rPr>
        <w:t xml:space="preserve"> à l’adresse ci-après :</w:t>
      </w:r>
      <w:r w:rsidR="004C12C5">
        <w:rPr>
          <w:rFonts w:ascii="Tahoma" w:hAnsi="Tahoma" w:cs="Tahoma"/>
          <w:sz w:val="18"/>
          <w:szCs w:val="18"/>
        </w:rPr>
        <w:t xml:space="preserve"> Siege de Projet sis au Ministère de la Production et de l’Industrialisation Agricole </w:t>
      </w:r>
      <w:r w:rsidRPr="00201FE2">
        <w:rPr>
          <w:rFonts w:ascii="Tahoma" w:eastAsia="Calibri" w:hAnsi="Tahoma" w:cs="Tahoma"/>
          <w:sz w:val="18"/>
          <w:szCs w:val="18"/>
        </w:rPr>
        <w:t>, Tél : +235 66 29 70 25 à N’Djaména, au plus tard</w:t>
      </w:r>
      <w:r w:rsidR="00B93F67" w:rsidRPr="00201FE2">
        <w:rPr>
          <w:rFonts w:ascii="Tahoma" w:eastAsia="Calibri" w:hAnsi="Tahoma" w:cs="Tahoma"/>
          <w:sz w:val="18"/>
          <w:szCs w:val="18"/>
        </w:rPr>
        <w:t>………</w:t>
      </w:r>
      <w:r w:rsidR="00B47D85">
        <w:rPr>
          <w:rFonts w:ascii="Tahoma" w:eastAsia="Calibri" w:hAnsi="Tahoma" w:cs="Tahoma"/>
          <w:sz w:val="18"/>
          <w:szCs w:val="18"/>
        </w:rPr>
        <w:t>……………………………</w:t>
      </w:r>
      <w:r w:rsidRPr="00201FE2">
        <w:rPr>
          <w:rFonts w:ascii="Tahoma" w:eastAsia="Calibri" w:hAnsi="Tahoma" w:cs="Tahoma"/>
          <w:b/>
          <w:sz w:val="18"/>
          <w:szCs w:val="18"/>
        </w:rPr>
        <w:t xml:space="preserve"> 12 heures</w:t>
      </w:r>
      <w:r w:rsidRPr="00201FE2">
        <w:rPr>
          <w:rFonts w:ascii="Tahoma" w:eastAsia="Calibri" w:hAnsi="Tahoma" w:cs="Tahoma"/>
          <w:sz w:val="18"/>
          <w:szCs w:val="18"/>
        </w:rPr>
        <w:t xml:space="preserve"> et porter expressément la mention</w:t>
      </w:r>
      <w:r w:rsidR="00CD5480" w:rsidRPr="00201FE2">
        <w:rPr>
          <w:rFonts w:ascii="Tahoma" w:eastAsia="Calibri" w:hAnsi="Tahoma" w:cs="Tahoma"/>
          <w:sz w:val="18"/>
          <w:szCs w:val="18"/>
        </w:rPr>
        <w:t xml:space="preserve"> </w:t>
      </w:r>
      <w:r w:rsidR="00CD5480" w:rsidRPr="00201FE2">
        <w:rPr>
          <w:rFonts w:ascii="Tahoma" w:eastAsia="Calibri" w:hAnsi="Tahoma" w:cs="Tahoma"/>
          <w:b/>
          <w:bCs/>
          <w:sz w:val="18"/>
          <w:szCs w:val="18"/>
        </w:rPr>
        <w:t>« Avis</w:t>
      </w:r>
      <w:r w:rsidRPr="00201FE2">
        <w:rPr>
          <w:rFonts w:ascii="Tahoma" w:eastAsia="Calibri" w:hAnsi="Tahoma" w:cs="Tahoma"/>
          <w:b/>
          <w:bCs/>
          <w:sz w:val="18"/>
          <w:szCs w:val="18"/>
        </w:rPr>
        <w:t xml:space="preserve"> à manifestation d’intérêt pour</w:t>
      </w:r>
      <w:r w:rsidR="00CB5005" w:rsidRPr="00201FE2">
        <w:rPr>
          <w:rFonts w:ascii="Tahoma" w:eastAsia="Calibri" w:hAnsi="Tahoma" w:cs="Tahoma"/>
          <w:b/>
          <w:bCs/>
          <w:sz w:val="18"/>
          <w:szCs w:val="18"/>
        </w:rPr>
        <w:t xml:space="preserve"> </w:t>
      </w:r>
      <w:r w:rsidR="00B93F67" w:rsidRPr="00201FE2">
        <w:rPr>
          <w:rFonts w:ascii="Tahoma" w:eastAsia="Calibri" w:hAnsi="Tahoma" w:cs="Tahoma"/>
          <w:b/>
          <w:bCs/>
          <w:sz w:val="18"/>
          <w:szCs w:val="18"/>
        </w:rPr>
        <w:t xml:space="preserve">le </w:t>
      </w:r>
      <w:r w:rsidR="00CB5005" w:rsidRPr="00201FE2">
        <w:rPr>
          <w:rFonts w:ascii="Tahoma" w:eastAsia="Calibri" w:hAnsi="Tahoma" w:cs="Tahoma"/>
          <w:b/>
          <w:bCs/>
          <w:sz w:val="18"/>
          <w:szCs w:val="18"/>
        </w:rPr>
        <w:t>recrutement d’un consultant individu</w:t>
      </w:r>
      <w:r w:rsidR="00FE30FC">
        <w:rPr>
          <w:rFonts w:ascii="Tahoma" w:eastAsia="Calibri" w:hAnsi="Tahoma" w:cs="Tahoma"/>
          <w:b/>
          <w:bCs/>
          <w:sz w:val="18"/>
          <w:szCs w:val="18"/>
        </w:rPr>
        <w:t>el</w:t>
      </w:r>
      <w:r w:rsidR="004C12C5">
        <w:rPr>
          <w:rFonts w:ascii="Tahoma" w:eastAsia="Calibri" w:hAnsi="Tahoma" w:cs="Tahoma"/>
          <w:b/>
          <w:bCs/>
          <w:sz w:val="18"/>
          <w:szCs w:val="18"/>
        </w:rPr>
        <w:t xml:space="preserve"> </w:t>
      </w:r>
      <w:r w:rsidR="00937E61">
        <w:rPr>
          <w:rFonts w:ascii="Tahoma" w:eastAsia="Calibri" w:hAnsi="Tahoma" w:cs="Tahoma"/>
          <w:b/>
          <w:bCs/>
          <w:sz w:val="18"/>
          <w:szCs w:val="18"/>
        </w:rPr>
        <w:t>chargé de conduire</w:t>
      </w:r>
      <w:r w:rsidR="004C12C5" w:rsidRPr="004C12C5">
        <w:rPr>
          <w:rFonts w:ascii="Tahoma" w:eastAsia="Calibri" w:hAnsi="Tahoma" w:cs="Tahoma"/>
          <w:b/>
          <w:bCs/>
          <w:sz w:val="18"/>
          <w:szCs w:val="18"/>
        </w:rPr>
        <w:t xml:space="preserve"> l’étude sur les modalités de paiement et les alternatives de paiement en espèce</w:t>
      </w:r>
      <w:r w:rsidR="004C12C5">
        <w:rPr>
          <w:rFonts w:ascii="Tahoma" w:eastAsia="Calibri" w:hAnsi="Tahoma" w:cs="Tahoma"/>
          <w:b/>
          <w:bCs/>
          <w:sz w:val="18"/>
          <w:szCs w:val="18"/>
        </w:rPr>
        <w:t>  dans la zone d’intervention du Projet RENFORT»</w:t>
      </w:r>
      <w:r w:rsidR="004C12C5" w:rsidRPr="004C12C5">
        <w:rPr>
          <w:rFonts w:ascii="Tahoma" w:eastAsia="Calibri" w:hAnsi="Tahoma" w:cs="Tahoma"/>
          <w:b/>
          <w:bCs/>
          <w:sz w:val="18"/>
          <w:szCs w:val="18"/>
        </w:rPr>
        <w:t>.</w:t>
      </w:r>
    </w:p>
    <w:p w14:paraId="1C1DCBCB" w14:textId="77777777" w:rsidR="004C12C5" w:rsidRDefault="004C12C5" w:rsidP="004C12C5">
      <w:pPr>
        <w:spacing w:after="60" w:line="276" w:lineRule="auto"/>
        <w:rPr>
          <w:rFonts w:ascii="Tahoma" w:hAnsi="Tahoma" w:cs="Tahoma"/>
          <w:sz w:val="18"/>
          <w:szCs w:val="18"/>
        </w:rPr>
      </w:pPr>
    </w:p>
    <w:p w14:paraId="4A466C39" w14:textId="79123D2D" w:rsidR="00B47D85" w:rsidRPr="004C12C5" w:rsidRDefault="004C12C5" w:rsidP="004C12C5">
      <w:pPr>
        <w:spacing w:after="60" w:line="276" w:lineRule="auto"/>
        <w:rPr>
          <w:rFonts w:ascii="Tahoma" w:hAnsi="Tahoma" w:cs="Tahoma"/>
          <w:sz w:val="18"/>
          <w:szCs w:val="18"/>
        </w:rPr>
      </w:pPr>
      <w:r>
        <w:rPr>
          <w:rFonts w:ascii="Tahoma" w:eastAsia="Calibri" w:hAnsi="Tahoma" w:cs="Tahoma"/>
          <w:b/>
          <w:bCs/>
          <w:sz w:val="18"/>
          <w:szCs w:val="18"/>
        </w:rPr>
        <w:t xml:space="preserve"> </w:t>
      </w:r>
      <w:r w:rsidR="00C66785" w:rsidRPr="00201FE2">
        <w:rPr>
          <w:rFonts w:ascii="Tahoma" w:eastAsia="Calibri" w:hAnsi="Tahoma" w:cs="Tahoma"/>
          <w:b/>
          <w:bCs/>
          <w:sz w:val="18"/>
          <w:szCs w:val="18"/>
        </w:rPr>
        <w:t>»</w:t>
      </w:r>
    </w:p>
    <w:p w14:paraId="49929F90" w14:textId="05F2AF94" w:rsidR="00A06324" w:rsidRPr="00201FE2" w:rsidRDefault="00A06324" w:rsidP="00CD5480">
      <w:pPr>
        <w:suppressAutoHyphens/>
        <w:overflowPunct w:val="0"/>
        <w:autoSpaceDE w:val="0"/>
        <w:autoSpaceDN w:val="0"/>
        <w:adjustRightInd w:val="0"/>
        <w:spacing w:line="240" w:lineRule="auto"/>
        <w:ind w:left="2124" w:firstLine="708"/>
        <w:textAlignment w:val="baseline"/>
        <w:rPr>
          <w:rFonts w:ascii="Tahoma" w:hAnsi="Tahoma" w:cs="Tahoma"/>
          <w:spacing w:val="-2"/>
          <w:sz w:val="18"/>
          <w:szCs w:val="18"/>
          <w:lang w:eastAsia="fr-FR"/>
        </w:rPr>
      </w:pPr>
      <w:r w:rsidRPr="00201FE2">
        <w:rPr>
          <w:rFonts w:ascii="Tahoma" w:hAnsi="Tahoma" w:cs="Tahoma"/>
          <w:spacing w:val="-2"/>
          <w:sz w:val="18"/>
          <w:szCs w:val="18"/>
          <w:lang w:eastAsia="fr-FR"/>
        </w:rPr>
        <w:t>N’Djaména, le</w:t>
      </w:r>
    </w:p>
    <w:p w14:paraId="05B071C7" w14:textId="77777777" w:rsidR="00B47D85" w:rsidRDefault="00B47D85" w:rsidP="00CF3C17">
      <w:pPr>
        <w:spacing w:after="0" w:line="240" w:lineRule="auto"/>
        <w:jc w:val="center"/>
        <w:rPr>
          <w:rFonts w:ascii="Tahoma" w:eastAsia="Calibri" w:hAnsi="Tahoma" w:cs="Tahoma"/>
          <w:b/>
          <w:bCs/>
          <w:sz w:val="18"/>
          <w:szCs w:val="18"/>
        </w:rPr>
      </w:pPr>
      <w:bookmarkStart w:id="1" w:name="_Hlk148945073"/>
    </w:p>
    <w:p w14:paraId="387E6A6D" w14:textId="5B59236A" w:rsidR="00A06324" w:rsidRPr="00B47D85" w:rsidRDefault="00A06324" w:rsidP="00CF3C17">
      <w:pPr>
        <w:spacing w:after="0" w:line="240" w:lineRule="auto"/>
        <w:jc w:val="center"/>
        <w:rPr>
          <w:rFonts w:ascii="Tahoma" w:eastAsia="Calibri" w:hAnsi="Tahoma" w:cs="Tahoma"/>
          <w:b/>
          <w:bCs/>
        </w:rPr>
      </w:pPr>
      <w:r w:rsidRPr="00B47D85">
        <w:rPr>
          <w:rFonts w:ascii="Tahoma" w:eastAsia="Calibri" w:hAnsi="Tahoma" w:cs="Tahoma"/>
          <w:b/>
          <w:bCs/>
        </w:rPr>
        <w:t>L</w:t>
      </w:r>
      <w:r w:rsidR="00201FE2" w:rsidRPr="00B47D85">
        <w:rPr>
          <w:rFonts w:ascii="Tahoma" w:eastAsia="Calibri" w:hAnsi="Tahoma" w:cs="Tahoma"/>
          <w:b/>
          <w:bCs/>
        </w:rPr>
        <w:t xml:space="preserve">e </w:t>
      </w:r>
      <w:r w:rsidRPr="00B47D85">
        <w:rPr>
          <w:rFonts w:ascii="Tahoma" w:eastAsia="Calibri" w:hAnsi="Tahoma" w:cs="Tahoma"/>
          <w:b/>
          <w:bCs/>
        </w:rPr>
        <w:t>Secrétaire Général du Ministère de la Production</w:t>
      </w:r>
    </w:p>
    <w:p w14:paraId="64C5A4FF" w14:textId="3B83ADDD" w:rsidR="00A06324" w:rsidRPr="00B47D85" w:rsidRDefault="00A06324" w:rsidP="008755F1">
      <w:pPr>
        <w:spacing w:line="240" w:lineRule="auto"/>
        <w:jc w:val="center"/>
        <w:rPr>
          <w:rFonts w:ascii="Tahoma" w:eastAsia="Calibri" w:hAnsi="Tahoma" w:cs="Tahoma"/>
          <w:b/>
          <w:bCs/>
        </w:rPr>
      </w:pPr>
      <w:proofErr w:type="gramStart"/>
      <w:r w:rsidRPr="00B47D85">
        <w:rPr>
          <w:rFonts w:ascii="Tahoma" w:eastAsia="Calibri" w:hAnsi="Tahoma" w:cs="Tahoma"/>
          <w:b/>
          <w:bCs/>
        </w:rPr>
        <w:t>et</w:t>
      </w:r>
      <w:proofErr w:type="gramEnd"/>
      <w:r w:rsidRPr="00B47D85">
        <w:rPr>
          <w:rFonts w:ascii="Tahoma" w:eastAsia="Calibri" w:hAnsi="Tahoma" w:cs="Tahoma"/>
          <w:b/>
          <w:bCs/>
        </w:rPr>
        <w:t xml:space="preserve"> de l</w:t>
      </w:r>
      <w:r w:rsidR="00DE1183" w:rsidRPr="00B47D85">
        <w:rPr>
          <w:rFonts w:ascii="Tahoma" w:eastAsia="Calibri" w:hAnsi="Tahoma" w:cs="Tahoma"/>
          <w:b/>
          <w:bCs/>
        </w:rPr>
        <w:t>’Industrialisation</w:t>
      </w:r>
      <w:r w:rsidRPr="00B47D85">
        <w:rPr>
          <w:rFonts w:ascii="Tahoma" w:eastAsia="Calibri" w:hAnsi="Tahoma" w:cs="Tahoma"/>
          <w:b/>
          <w:bCs/>
        </w:rPr>
        <w:t xml:space="preserve"> Agricole</w:t>
      </w:r>
    </w:p>
    <w:p w14:paraId="0D57BCD5" w14:textId="77777777" w:rsidR="00A06324" w:rsidRPr="00B47D85" w:rsidRDefault="00A06324" w:rsidP="008755F1">
      <w:pPr>
        <w:spacing w:line="240" w:lineRule="auto"/>
        <w:jc w:val="center"/>
        <w:rPr>
          <w:rFonts w:ascii="Tahoma" w:eastAsia="Calibri" w:hAnsi="Tahoma" w:cs="Tahoma"/>
        </w:rPr>
      </w:pPr>
    </w:p>
    <w:p w14:paraId="79F3E3F5" w14:textId="77777777" w:rsidR="00A06324" w:rsidRPr="00B47D85" w:rsidRDefault="00A06324" w:rsidP="008755F1">
      <w:pPr>
        <w:spacing w:line="240" w:lineRule="auto"/>
        <w:jc w:val="center"/>
        <w:rPr>
          <w:rFonts w:ascii="Tahoma" w:eastAsia="Calibri" w:hAnsi="Tahoma" w:cs="Tahoma"/>
        </w:rPr>
      </w:pPr>
    </w:p>
    <w:bookmarkEnd w:id="1"/>
    <w:p w14:paraId="03CB5542" w14:textId="77777777" w:rsidR="00B47D85" w:rsidRPr="00B47D85" w:rsidRDefault="00B47D85" w:rsidP="00201FE2">
      <w:p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spacing w:line="240" w:lineRule="auto"/>
        <w:jc w:val="center"/>
        <w:rPr>
          <w:rFonts w:ascii="Tahoma" w:eastAsia="Calibri" w:hAnsi="Tahoma" w:cs="Tahoma"/>
          <w:b/>
          <w:bCs/>
          <w:u w:val="single"/>
        </w:rPr>
      </w:pPr>
    </w:p>
    <w:p w14:paraId="4E2422D5" w14:textId="77777777" w:rsidR="00B47D85" w:rsidRPr="00B47D85" w:rsidRDefault="00B47D85" w:rsidP="00201FE2">
      <w:p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spacing w:line="240" w:lineRule="auto"/>
        <w:jc w:val="center"/>
        <w:rPr>
          <w:rFonts w:ascii="Tahoma" w:eastAsia="Calibri" w:hAnsi="Tahoma" w:cs="Tahoma"/>
          <w:b/>
          <w:bCs/>
          <w:u w:val="single"/>
        </w:rPr>
      </w:pPr>
    </w:p>
    <w:p w14:paraId="0FA3C4CE" w14:textId="6B9E59CA" w:rsidR="001D1EFC" w:rsidRPr="00FC62D2" w:rsidRDefault="00201FE2" w:rsidP="00FC62D2">
      <w:p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spacing w:line="240" w:lineRule="auto"/>
        <w:jc w:val="center"/>
        <w:rPr>
          <w:rFonts w:ascii="Tahoma" w:eastAsia="Calibri" w:hAnsi="Tahoma" w:cs="Tahoma"/>
          <w:b/>
          <w:bCs/>
          <w:u w:val="single"/>
        </w:rPr>
      </w:pPr>
      <w:r w:rsidRPr="00B47D85">
        <w:rPr>
          <w:rFonts w:ascii="Tahoma" w:eastAsia="Calibri" w:hAnsi="Tahoma" w:cs="Tahoma"/>
          <w:b/>
          <w:bCs/>
          <w:u w:val="single"/>
        </w:rPr>
        <w:t>MOUBARACK ABAKAR ROUBO</w:t>
      </w:r>
    </w:p>
    <w:sectPr w:rsidR="001D1EFC" w:rsidRPr="00FC62D2" w:rsidSect="006C48D7">
      <w:footerReference w:type="default" r:id="rId10"/>
      <w:pgSz w:w="11906" w:h="16838"/>
      <w:pgMar w:top="1191" w:right="1247" w:bottom="119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63306" w14:textId="77777777" w:rsidR="002F6BEC" w:rsidRDefault="002F6BEC" w:rsidP="00B43F60">
      <w:pPr>
        <w:spacing w:after="0" w:line="240" w:lineRule="auto"/>
      </w:pPr>
      <w:r>
        <w:separator/>
      </w:r>
    </w:p>
  </w:endnote>
  <w:endnote w:type="continuationSeparator" w:id="0">
    <w:p w14:paraId="21AEEE99" w14:textId="77777777" w:rsidR="002F6BEC" w:rsidRDefault="002F6BEC" w:rsidP="00B43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708417"/>
      <w:docPartObj>
        <w:docPartGallery w:val="Page Numbers (Bottom of Page)"/>
        <w:docPartUnique/>
      </w:docPartObj>
    </w:sdtPr>
    <w:sdtContent>
      <w:p w14:paraId="3AF97EF1" w14:textId="0FDC3D10" w:rsidR="00351BB3" w:rsidRDefault="00351BB3">
        <w:pPr>
          <w:pStyle w:val="Pieddepage"/>
          <w:jc w:val="center"/>
        </w:pPr>
        <w:r>
          <w:fldChar w:fldCharType="begin"/>
        </w:r>
        <w:r>
          <w:instrText>PAGE   \* MERGEFORMAT</w:instrText>
        </w:r>
        <w:r>
          <w:fldChar w:fldCharType="separate"/>
        </w:r>
        <w:r>
          <w:t>2</w:t>
        </w:r>
        <w:r>
          <w:fldChar w:fldCharType="end"/>
        </w:r>
      </w:p>
    </w:sdtContent>
  </w:sdt>
  <w:p w14:paraId="16721F0A" w14:textId="77777777" w:rsidR="00B43F60" w:rsidRDefault="00B43F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AC186" w14:textId="77777777" w:rsidR="002F6BEC" w:rsidRDefault="002F6BEC" w:rsidP="00B43F60">
      <w:pPr>
        <w:spacing w:after="0" w:line="240" w:lineRule="auto"/>
      </w:pPr>
      <w:r>
        <w:separator/>
      </w:r>
    </w:p>
  </w:footnote>
  <w:footnote w:type="continuationSeparator" w:id="0">
    <w:p w14:paraId="0B83D9E4" w14:textId="77777777" w:rsidR="002F6BEC" w:rsidRDefault="002F6BEC" w:rsidP="00B43F60">
      <w:pPr>
        <w:spacing w:after="0" w:line="240" w:lineRule="auto"/>
      </w:pPr>
      <w:r>
        <w:continuationSeparator/>
      </w:r>
    </w:p>
  </w:footnote>
  <w:footnote w:id="1">
    <w:p w14:paraId="4E740DED" w14:textId="77777777" w:rsidR="009D2E75" w:rsidRDefault="009D2E75" w:rsidP="009D2E75">
      <w:pPr>
        <w:pStyle w:val="Notedebasdepage"/>
        <w:rPr>
          <w:rFonts w:ascii="Arial" w:hAnsi="Arial" w:cs="Arial"/>
        </w:rPr>
      </w:pPr>
      <w:r>
        <w:rPr>
          <w:rStyle w:val="Appelnotedebasdep"/>
          <w:rFonts w:ascii="Arial" w:hAnsi="Arial" w:cs="Arial"/>
        </w:rPr>
        <w:footnoteRef/>
      </w:r>
      <w:r>
        <w:rPr>
          <w:rFonts w:ascii="Arial" w:hAnsi="Arial"/>
        </w:rPr>
        <w:t xml:space="preserve"> Cette politique est exposée dans le document consultable à l’adresse </w:t>
      </w:r>
      <w:proofErr w:type="gramStart"/>
      <w:r>
        <w:rPr>
          <w:rFonts w:ascii="Arial" w:hAnsi="Arial"/>
        </w:rPr>
        <w:t>suivante:</w:t>
      </w:r>
      <w:proofErr w:type="gramEnd"/>
      <w:r>
        <w:rPr>
          <w:rFonts w:ascii="Arial" w:hAnsi="Arial"/>
        </w:rPr>
        <w:t xml:space="preserve"> </w:t>
      </w:r>
      <w:hyperlink r:id="rId1" w:history="1">
        <w:r>
          <w:rPr>
            <w:rStyle w:val="Lienhypertexte"/>
            <w:rFonts w:ascii="Arial" w:eastAsiaTheme="majorEastAsia" w:hAnsi="Arial"/>
          </w:rPr>
          <w:t>https://www.ifad.org/fr/document-detail/asset/41942012</w:t>
        </w:r>
      </w:hyperlink>
      <w:r>
        <w:rPr>
          <w:rFonts w:ascii="Arial" w:hAnsi="Arial"/>
        </w:rPr>
        <w:t xml:space="preserve"> </w:t>
      </w:r>
    </w:p>
  </w:footnote>
  <w:footnote w:id="2">
    <w:p w14:paraId="55471330" w14:textId="77777777" w:rsidR="009D2E75" w:rsidRDefault="009D2E75" w:rsidP="009D2E75">
      <w:pPr>
        <w:pStyle w:val="Notedebasdepage"/>
        <w:rPr>
          <w:rFonts w:ascii="Arial" w:hAnsi="Arial" w:cs="Arial"/>
        </w:rPr>
      </w:pPr>
      <w:r>
        <w:rPr>
          <w:rStyle w:val="Appelnotedebasdep"/>
          <w:rFonts w:ascii="Arial" w:hAnsi="Arial" w:cs="Arial"/>
        </w:rPr>
        <w:footnoteRef/>
      </w:r>
      <w:r>
        <w:t xml:space="preserve"> </w:t>
      </w:r>
      <w:r>
        <w:rPr>
          <w:rFonts w:ascii="Arial" w:hAnsi="Arial" w:cs="Arial"/>
        </w:rPr>
        <w:t xml:space="preserve">Cette politique est exposée dans le document consultable à l'adresse </w:t>
      </w:r>
      <w:proofErr w:type="gramStart"/>
      <w:r>
        <w:rPr>
          <w:rFonts w:ascii="Arial" w:hAnsi="Arial" w:cs="Arial"/>
        </w:rPr>
        <w:t>suivante:</w:t>
      </w:r>
      <w:proofErr w:type="gramEnd"/>
      <w:r>
        <w:rPr>
          <w:rFonts w:ascii="Arial" w:hAnsi="Arial" w:cs="Arial"/>
        </w:rPr>
        <w:t xml:space="preserve"> </w:t>
      </w:r>
      <w:hyperlink r:id="rId2" w:history="1">
        <w:r>
          <w:rPr>
            <w:rStyle w:val="Lienhypertexte"/>
            <w:rFonts w:ascii="Arial" w:eastAsiaTheme="majorEastAsia" w:hAnsi="Arial" w:cs="Arial"/>
          </w:rPr>
          <w:t>https://www.ifad.org/fr/document-detail/asset/40189695</w:t>
        </w:r>
      </w:hyperlink>
      <w:r>
        <w:rPr>
          <w:rFonts w:ascii="Arial" w:hAnsi="Arial"/>
          <w:iCs/>
        </w:rPr>
        <w:t xml:space="preserve"> </w:t>
      </w:r>
    </w:p>
  </w:footnote>
  <w:footnote w:id="3">
    <w:p w14:paraId="22B80D54" w14:textId="77777777" w:rsidR="009D2E75" w:rsidRDefault="009D2E75" w:rsidP="009D2E75">
      <w:pPr>
        <w:pStyle w:val="Notedebasdepage"/>
      </w:pPr>
      <w:r>
        <w:rPr>
          <w:rStyle w:val="Appelnotedebasdep"/>
          <w:rFonts w:ascii="Arial" w:hAnsi="Arial" w:cs="Arial"/>
        </w:rPr>
        <w:footnoteRef/>
      </w:r>
      <w:r>
        <w:rPr>
          <w:rFonts w:ascii="Arial" w:hAnsi="Arial"/>
        </w:rPr>
        <w:t xml:space="preserve"> Cette politique est exposée dans le document consultable à l’adresse </w:t>
      </w:r>
      <w:proofErr w:type="gramStart"/>
      <w:r>
        <w:rPr>
          <w:rFonts w:ascii="Arial" w:hAnsi="Arial"/>
        </w:rPr>
        <w:t>suivante:</w:t>
      </w:r>
      <w:proofErr w:type="gramEnd"/>
      <w:r>
        <w:rPr>
          <w:rFonts w:ascii="Arial" w:hAnsi="Arial"/>
        </w:rPr>
        <w:t xml:space="preserve"> </w:t>
      </w:r>
      <w:hyperlink r:id="rId3" w:history="1">
        <w:r>
          <w:rPr>
            <w:rStyle w:val="Lienhypertexte"/>
            <w:rFonts w:ascii="Arial" w:eastAsiaTheme="majorEastAsia" w:hAnsi="Arial"/>
          </w:rPr>
          <w:t>https://www.ifad.org/fr/document-detail/asset/40738506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56CC1D0"/>
    <w:lvl w:ilvl="0" w:tplc="C69A77DA">
      <w:start w:val="2"/>
      <w:numFmt w:val="bullet"/>
      <w:lvlText w:val="-"/>
      <w:lvlJc w:val="left"/>
      <w:pPr>
        <w:tabs>
          <w:tab w:val="left" w:pos="1145"/>
        </w:tabs>
        <w:ind w:left="1145" w:hanging="360"/>
      </w:pPr>
      <w:rPr>
        <w:rFonts w:ascii="Times New Roman" w:eastAsia="Times New Roman" w:hAnsi="Times New Roman" w:cs="Times New Roman" w:hint="default"/>
      </w:rPr>
    </w:lvl>
    <w:lvl w:ilvl="1" w:tplc="04090003" w:tentative="1">
      <w:start w:val="1"/>
      <w:numFmt w:val="bullet"/>
      <w:lvlText w:val="o"/>
      <w:lvlJc w:val="left"/>
      <w:pPr>
        <w:tabs>
          <w:tab w:val="left" w:pos="1865"/>
        </w:tabs>
        <w:ind w:left="1865" w:hanging="360"/>
      </w:pPr>
      <w:rPr>
        <w:rFonts w:ascii="Courier New" w:hAnsi="Courier New" w:hint="default"/>
      </w:rPr>
    </w:lvl>
    <w:lvl w:ilvl="2" w:tplc="04090005" w:tentative="1">
      <w:start w:val="1"/>
      <w:numFmt w:val="bullet"/>
      <w:lvlText w:val=""/>
      <w:lvlJc w:val="left"/>
      <w:pPr>
        <w:tabs>
          <w:tab w:val="left" w:pos="2585"/>
        </w:tabs>
        <w:ind w:left="2585" w:hanging="360"/>
      </w:pPr>
      <w:rPr>
        <w:rFonts w:ascii="Wingdings" w:hAnsi="Wingdings" w:hint="default"/>
      </w:rPr>
    </w:lvl>
    <w:lvl w:ilvl="3" w:tplc="04090001" w:tentative="1">
      <w:start w:val="1"/>
      <w:numFmt w:val="bullet"/>
      <w:lvlText w:val=""/>
      <w:lvlJc w:val="left"/>
      <w:pPr>
        <w:tabs>
          <w:tab w:val="left" w:pos="3305"/>
        </w:tabs>
        <w:ind w:left="3305" w:hanging="360"/>
      </w:pPr>
      <w:rPr>
        <w:rFonts w:ascii="Symbol" w:hAnsi="Symbol" w:hint="default"/>
      </w:rPr>
    </w:lvl>
    <w:lvl w:ilvl="4" w:tplc="04090003" w:tentative="1">
      <w:start w:val="1"/>
      <w:numFmt w:val="bullet"/>
      <w:lvlText w:val="o"/>
      <w:lvlJc w:val="left"/>
      <w:pPr>
        <w:tabs>
          <w:tab w:val="left" w:pos="4025"/>
        </w:tabs>
        <w:ind w:left="4025" w:hanging="360"/>
      </w:pPr>
      <w:rPr>
        <w:rFonts w:ascii="Courier New" w:hAnsi="Courier New" w:hint="default"/>
      </w:rPr>
    </w:lvl>
    <w:lvl w:ilvl="5" w:tplc="04090005" w:tentative="1">
      <w:start w:val="1"/>
      <w:numFmt w:val="bullet"/>
      <w:lvlText w:val=""/>
      <w:lvlJc w:val="left"/>
      <w:pPr>
        <w:tabs>
          <w:tab w:val="left" w:pos="4745"/>
        </w:tabs>
        <w:ind w:left="4745" w:hanging="360"/>
      </w:pPr>
      <w:rPr>
        <w:rFonts w:ascii="Wingdings" w:hAnsi="Wingdings" w:hint="default"/>
      </w:rPr>
    </w:lvl>
    <w:lvl w:ilvl="6" w:tplc="04090001" w:tentative="1">
      <w:start w:val="1"/>
      <w:numFmt w:val="bullet"/>
      <w:lvlText w:val=""/>
      <w:lvlJc w:val="left"/>
      <w:pPr>
        <w:tabs>
          <w:tab w:val="left" w:pos="5465"/>
        </w:tabs>
        <w:ind w:left="5465" w:hanging="360"/>
      </w:pPr>
      <w:rPr>
        <w:rFonts w:ascii="Symbol" w:hAnsi="Symbol" w:hint="default"/>
      </w:rPr>
    </w:lvl>
    <w:lvl w:ilvl="7" w:tplc="04090003" w:tentative="1">
      <w:start w:val="1"/>
      <w:numFmt w:val="bullet"/>
      <w:lvlText w:val="o"/>
      <w:lvlJc w:val="left"/>
      <w:pPr>
        <w:tabs>
          <w:tab w:val="left" w:pos="6185"/>
        </w:tabs>
        <w:ind w:left="6185" w:hanging="360"/>
      </w:pPr>
      <w:rPr>
        <w:rFonts w:ascii="Courier New" w:hAnsi="Courier New" w:hint="default"/>
      </w:rPr>
    </w:lvl>
    <w:lvl w:ilvl="8" w:tplc="04090005" w:tentative="1">
      <w:start w:val="1"/>
      <w:numFmt w:val="bullet"/>
      <w:lvlText w:val=""/>
      <w:lvlJc w:val="left"/>
      <w:pPr>
        <w:tabs>
          <w:tab w:val="left" w:pos="6905"/>
        </w:tabs>
        <w:ind w:left="6905" w:hanging="360"/>
      </w:pPr>
      <w:rPr>
        <w:rFonts w:ascii="Wingdings" w:hAnsi="Wingdings" w:hint="default"/>
      </w:rPr>
    </w:lvl>
  </w:abstractNum>
  <w:abstractNum w:abstractNumId="1" w15:restartNumberingAfterBreak="0">
    <w:nsid w:val="04D169F1"/>
    <w:multiLevelType w:val="hybridMultilevel"/>
    <w:tmpl w:val="A658E72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08A022FA"/>
    <w:multiLevelType w:val="hybridMultilevel"/>
    <w:tmpl w:val="0332EC24"/>
    <w:lvl w:ilvl="0" w:tplc="CFEABCF4">
      <w:start w:val="7"/>
      <w:numFmt w:val="bullet"/>
      <w:lvlText w:val=""/>
      <w:lvlJc w:val="left"/>
      <w:pPr>
        <w:ind w:left="720" w:hanging="360"/>
      </w:pPr>
      <w:rPr>
        <w:rFonts w:ascii="Symbol" w:eastAsia="Times New Roman" w:hAnsi="Symbol" w:cs="Times New Roman" w:hint="default"/>
        <w:b w:val="0"/>
        <w:sz w:val="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4A15F8"/>
    <w:multiLevelType w:val="hybridMultilevel"/>
    <w:tmpl w:val="F1BA344C"/>
    <w:lvl w:ilvl="0" w:tplc="F44A67B0">
      <w:start w:val="27"/>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CF70D6C"/>
    <w:multiLevelType w:val="hybridMultilevel"/>
    <w:tmpl w:val="241222F6"/>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19662CF"/>
    <w:multiLevelType w:val="multilevel"/>
    <w:tmpl w:val="2E7E17F4"/>
    <w:styleLink w:val="AnnexHeadings1"/>
    <w:lvl w:ilvl="0">
      <w:start w:val="1"/>
      <w:numFmt w:val="decimal"/>
      <w:pStyle w:val="IFADparagraphnumbering"/>
      <w:lvlText w:val="%1."/>
      <w:lvlJc w:val="left"/>
      <w:pPr>
        <w:tabs>
          <w:tab w:val="num" w:pos="6237"/>
        </w:tabs>
        <w:ind w:left="623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IFADparagraphno2ndlevel"/>
      <w:lvlText w:val="(%2)"/>
      <w:lvlJc w:val="left"/>
      <w:pPr>
        <w:tabs>
          <w:tab w:val="num" w:pos="1134"/>
        </w:tabs>
        <w:ind w:left="1134"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IFADparagraphno3rdlevel"/>
      <w:lvlText w:val="(%3)"/>
      <w:lvlJc w:val="left"/>
      <w:pPr>
        <w:tabs>
          <w:tab w:val="num" w:pos="1701"/>
        </w:tabs>
        <w:ind w:left="170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pStyle w:val="IFADparagraphno4thlevel"/>
      <w:lvlText w:val="-"/>
      <w:lvlJc w:val="left"/>
      <w:pPr>
        <w:tabs>
          <w:tab w:val="num" w:pos="1985"/>
        </w:tabs>
        <w:ind w:left="1985"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D2F3FF3"/>
    <w:multiLevelType w:val="multilevel"/>
    <w:tmpl w:val="2AE2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02CE7"/>
    <w:multiLevelType w:val="hybridMultilevel"/>
    <w:tmpl w:val="253AAB12"/>
    <w:lvl w:ilvl="0" w:tplc="F44A67B0">
      <w:start w:val="2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1E091A"/>
    <w:multiLevelType w:val="hybridMultilevel"/>
    <w:tmpl w:val="A104A2B2"/>
    <w:lvl w:ilvl="0" w:tplc="F10056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4032A6"/>
    <w:multiLevelType w:val="hybridMultilevel"/>
    <w:tmpl w:val="98A0A2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AE31A2"/>
    <w:multiLevelType w:val="multilevel"/>
    <w:tmpl w:val="9DF447C6"/>
    <w:lvl w:ilvl="0">
      <w:start w:val="1"/>
      <w:numFmt w:val="upperRoman"/>
      <w:lvlText w:val="%1."/>
      <w:lvlJc w:val="left"/>
      <w:pPr>
        <w:ind w:left="1080" w:hanging="720"/>
      </w:pPr>
      <w:rPr>
        <w:rFonts w:hint="default"/>
        <w:i w:val="0"/>
      </w:rPr>
    </w:lvl>
    <w:lvl w:ilvl="1">
      <w:start w:val="1"/>
      <w:numFmt w:val="decimal"/>
      <w:isLgl/>
      <w:lvlText w:val="%1.%2."/>
      <w:lvlJc w:val="left"/>
      <w:pPr>
        <w:ind w:left="2062" w:hanging="360"/>
      </w:pPr>
      <w:rPr>
        <w:rFonts w:hint="default"/>
        <w:b/>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1" w15:restartNumberingAfterBreak="0">
    <w:nsid w:val="36BB6DCA"/>
    <w:multiLevelType w:val="multilevel"/>
    <w:tmpl w:val="5EE2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482DEB"/>
    <w:multiLevelType w:val="hybridMultilevel"/>
    <w:tmpl w:val="98A0A2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1B2724"/>
    <w:multiLevelType w:val="hybridMultilevel"/>
    <w:tmpl w:val="9ED4D2A8"/>
    <w:lvl w:ilvl="0" w:tplc="6C345E8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B5B1F53"/>
    <w:multiLevelType w:val="hybridMultilevel"/>
    <w:tmpl w:val="C832A024"/>
    <w:lvl w:ilvl="0" w:tplc="0D8634C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BE7350"/>
    <w:multiLevelType w:val="hybridMultilevel"/>
    <w:tmpl w:val="A664E1B4"/>
    <w:lvl w:ilvl="0" w:tplc="040C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55C11491"/>
    <w:multiLevelType w:val="hybridMultilevel"/>
    <w:tmpl w:val="7C7C3D44"/>
    <w:lvl w:ilvl="0" w:tplc="F44A67B0">
      <w:start w:val="2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37A194D"/>
    <w:multiLevelType w:val="hybridMultilevel"/>
    <w:tmpl w:val="98A0A2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6DC4C22"/>
    <w:multiLevelType w:val="multilevel"/>
    <w:tmpl w:val="E568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337598"/>
    <w:multiLevelType w:val="hybridMultilevel"/>
    <w:tmpl w:val="3022DB54"/>
    <w:lvl w:ilvl="0" w:tplc="CFEABCF4">
      <w:start w:val="7"/>
      <w:numFmt w:val="bullet"/>
      <w:lvlText w:val=""/>
      <w:lvlJc w:val="left"/>
      <w:pPr>
        <w:ind w:left="765" w:hanging="360"/>
      </w:pPr>
      <w:rPr>
        <w:rFonts w:ascii="Symbol" w:eastAsia="Times New Roman" w:hAnsi="Symbol" w:cs="Times New Roman" w:hint="default"/>
        <w:b w:val="0"/>
        <w:sz w:val="26"/>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0" w15:restartNumberingAfterBreak="0">
    <w:nsid w:val="74CB61B9"/>
    <w:multiLevelType w:val="hybridMultilevel"/>
    <w:tmpl w:val="905A365C"/>
    <w:lvl w:ilvl="0" w:tplc="CFEABCF4">
      <w:start w:val="7"/>
      <w:numFmt w:val="bullet"/>
      <w:lvlText w:val=""/>
      <w:lvlJc w:val="left"/>
      <w:pPr>
        <w:ind w:left="786" w:hanging="360"/>
      </w:pPr>
      <w:rPr>
        <w:rFonts w:ascii="Symbol" w:eastAsia="Times New Roman" w:hAnsi="Symbol" w:cs="Times New Roman" w:hint="default"/>
        <w:b w:val="0"/>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488471305">
    <w:abstractNumId w:val="5"/>
    <w:lvlOverride w:ilvl="0">
      <w:lvl w:ilvl="0">
        <w:start w:val="1"/>
        <w:numFmt w:val="decimal"/>
        <w:pStyle w:val="IFADparagraphnumbering"/>
        <w:lvlText w:val="%1."/>
        <w:lvlJc w:val="left"/>
        <w:pPr>
          <w:tabs>
            <w:tab w:val="num" w:pos="6237"/>
          </w:tabs>
          <w:ind w:left="623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pStyle w:val="IFADparagraphno2ndlevel"/>
        <w:lvlText w:val="(%2)"/>
        <w:lvlJc w:val="left"/>
        <w:pPr>
          <w:tabs>
            <w:tab w:val="num" w:pos="1134"/>
          </w:tabs>
          <w:ind w:left="1134"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pStyle w:val="IFADparagraphno3rdlevel"/>
        <w:lvlText w:val="(%3)"/>
        <w:lvlJc w:val="left"/>
        <w:pPr>
          <w:tabs>
            <w:tab w:val="num" w:pos="1701"/>
          </w:tabs>
          <w:ind w:left="170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bullet"/>
        <w:pStyle w:val="IFADparagraphno4thlevel"/>
        <w:lvlText w:val="-"/>
        <w:lvlJc w:val="left"/>
        <w:pPr>
          <w:tabs>
            <w:tab w:val="num" w:pos="1985"/>
          </w:tabs>
          <w:ind w:left="1985"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 w16cid:durableId="1587183393">
    <w:abstractNumId w:val="5"/>
  </w:num>
  <w:num w:numId="3" w16cid:durableId="1957759499">
    <w:abstractNumId w:val="7"/>
  </w:num>
  <w:num w:numId="4" w16cid:durableId="136461829">
    <w:abstractNumId w:val="2"/>
  </w:num>
  <w:num w:numId="5" w16cid:durableId="1320966787">
    <w:abstractNumId w:val="20"/>
  </w:num>
  <w:num w:numId="6" w16cid:durableId="1441023635">
    <w:abstractNumId w:val="19"/>
  </w:num>
  <w:num w:numId="7" w16cid:durableId="828789142">
    <w:abstractNumId w:val="17"/>
  </w:num>
  <w:num w:numId="8" w16cid:durableId="126240064">
    <w:abstractNumId w:val="13"/>
  </w:num>
  <w:num w:numId="9" w16cid:durableId="93939521">
    <w:abstractNumId w:val="14"/>
  </w:num>
  <w:num w:numId="10" w16cid:durableId="1938362405">
    <w:abstractNumId w:val="9"/>
  </w:num>
  <w:num w:numId="11" w16cid:durableId="2109617861">
    <w:abstractNumId w:val="12"/>
  </w:num>
  <w:num w:numId="12" w16cid:durableId="132406404">
    <w:abstractNumId w:val="0"/>
  </w:num>
  <w:num w:numId="13" w16cid:durableId="18554111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665218">
    <w:abstractNumId w:val="8"/>
  </w:num>
  <w:num w:numId="15" w16cid:durableId="282923572">
    <w:abstractNumId w:val="10"/>
  </w:num>
  <w:num w:numId="16" w16cid:durableId="297880100">
    <w:abstractNumId w:val="4"/>
  </w:num>
  <w:num w:numId="17" w16cid:durableId="414666463">
    <w:abstractNumId w:val="3"/>
  </w:num>
  <w:num w:numId="18" w16cid:durableId="389813666">
    <w:abstractNumId w:val="11"/>
  </w:num>
  <w:num w:numId="19" w16cid:durableId="1418669013">
    <w:abstractNumId w:val="16"/>
  </w:num>
  <w:num w:numId="20" w16cid:durableId="446852512">
    <w:abstractNumId w:val="15"/>
  </w:num>
  <w:num w:numId="21" w16cid:durableId="240604325">
    <w:abstractNumId w:val="18"/>
  </w:num>
  <w:num w:numId="22" w16cid:durableId="8274018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EFC"/>
    <w:rsid w:val="000014BC"/>
    <w:rsid w:val="000109C0"/>
    <w:rsid w:val="00053A10"/>
    <w:rsid w:val="00061641"/>
    <w:rsid w:val="000A4AE5"/>
    <w:rsid w:val="000B0352"/>
    <w:rsid w:val="000C1C7A"/>
    <w:rsid w:val="000D4A67"/>
    <w:rsid w:val="001159D8"/>
    <w:rsid w:val="00125E98"/>
    <w:rsid w:val="00135D76"/>
    <w:rsid w:val="00137B4E"/>
    <w:rsid w:val="00151172"/>
    <w:rsid w:val="00191F33"/>
    <w:rsid w:val="001B0DF1"/>
    <w:rsid w:val="001B4528"/>
    <w:rsid w:val="001C50CE"/>
    <w:rsid w:val="001D1EFC"/>
    <w:rsid w:val="001F5ABC"/>
    <w:rsid w:val="001F7F49"/>
    <w:rsid w:val="00201FE2"/>
    <w:rsid w:val="00206809"/>
    <w:rsid w:val="00230533"/>
    <w:rsid w:val="002457EE"/>
    <w:rsid w:val="002736D5"/>
    <w:rsid w:val="002818DE"/>
    <w:rsid w:val="002B11D5"/>
    <w:rsid w:val="002B24EE"/>
    <w:rsid w:val="002B3F20"/>
    <w:rsid w:val="002B4683"/>
    <w:rsid w:val="002E5DCB"/>
    <w:rsid w:val="002F465D"/>
    <w:rsid w:val="002F6BEC"/>
    <w:rsid w:val="00306CD5"/>
    <w:rsid w:val="00310751"/>
    <w:rsid w:val="003204DA"/>
    <w:rsid w:val="0032676A"/>
    <w:rsid w:val="00351BB3"/>
    <w:rsid w:val="00360495"/>
    <w:rsid w:val="0037531D"/>
    <w:rsid w:val="00383F07"/>
    <w:rsid w:val="00390679"/>
    <w:rsid w:val="003A2E1D"/>
    <w:rsid w:val="003B0018"/>
    <w:rsid w:val="003B4005"/>
    <w:rsid w:val="003C12A2"/>
    <w:rsid w:val="003E24C2"/>
    <w:rsid w:val="003E61CF"/>
    <w:rsid w:val="003F3185"/>
    <w:rsid w:val="0040401A"/>
    <w:rsid w:val="004059EC"/>
    <w:rsid w:val="00427A53"/>
    <w:rsid w:val="00431CC9"/>
    <w:rsid w:val="00474989"/>
    <w:rsid w:val="0049171B"/>
    <w:rsid w:val="004A3F95"/>
    <w:rsid w:val="004A5EB7"/>
    <w:rsid w:val="004B5574"/>
    <w:rsid w:val="004C0786"/>
    <w:rsid w:val="004C12C5"/>
    <w:rsid w:val="004D3BED"/>
    <w:rsid w:val="00526EE7"/>
    <w:rsid w:val="00541B79"/>
    <w:rsid w:val="00555324"/>
    <w:rsid w:val="00567795"/>
    <w:rsid w:val="00570423"/>
    <w:rsid w:val="00570CB6"/>
    <w:rsid w:val="00572438"/>
    <w:rsid w:val="005811B0"/>
    <w:rsid w:val="00593E7E"/>
    <w:rsid w:val="005A25B3"/>
    <w:rsid w:val="005B7207"/>
    <w:rsid w:val="005C1083"/>
    <w:rsid w:val="005F18D5"/>
    <w:rsid w:val="005F4AAE"/>
    <w:rsid w:val="006116AA"/>
    <w:rsid w:val="00617BB7"/>
    <w:rsid w:val="0062539C"/>
    <w:rsid w:val="006257AC"/>
    <w:rsid w:val="006651F6"/>
    <w:rsid w:val="00676F52"/>
    <w:rsid w:val="006A5C9F"/>
    <w:rsid w:val="006B6DA2"/>
    <w:rsid w:val="006B7C72"/>
    <w:rsid w:val="006C48D7"/>
    <w:rsid w:val="006D7515"/>
    <w:rsid w:val="0072445C"/>
    <w:rsid w:val="00725C2B"/>
    <w:rsid w:val="00745058"/>
    <w:rsid w:val="007540D6"/>
    <w:rsid w:val="007734B3"/>
    <w:rsid w:val="007870B6"/>
    <w:rsid w:val="00796ACC"/>
    <w:rsid w:val="007A19AB"/>
    <w:rsid w:val="007A398D"/>
    <w:rsid w:val="007B17FD"/>
    <w:rsid w:val="007B5BF3"/>
    <w:rsid w:val="007C551A"/>
    <w:rsid w:val="007D3693"/>
    <w:rsid w:val="007E6F53"/>
    <w:rsid w:val="00813B35"/>
    <w:rsid w:val="00815C28"/>
    <w:rsid w:val="00820C91"/>
    <w:rsid w:val="00820E5E"/>
    <w:rsid w:val="00832857"/>
    <w:rsid w:val="00860B20"/>
    <w:rsid w:val="008755F1"/>
    <w:rsid w:val="00880EDE"/>
    <w:rsid w:val="00896A63"/>
    <w:rsid w:val="008A1032"/>
    <w:rsid w:val="008B44B9"/>
    <w:rsid w:val="0090787C"/>
    <w:rsid w:val="0091157C"/>
    <w:rsid w:val="009266A7"/>
    <w:rsid w:val="00937E61"/>
    <w:rsid w:val="00957C02"/>
    <w:rsid w:val="009619E7"/>
    <w:rsid w:val="00986DDE"/>
    <w:rsid w:val="009A0179"/>
    <w:rsid w:val="009A0B0A"/>
    <w:rsid w:val="009B104F"/>
    <w:rsid w:val="009D2E75"/>
    <w:rsid w:val="009D7472"/>
    <w:rsid w:val="009F7CDA"/>
    <w:rsid w:val="00A01FF8"/>
    <w:rsid w:val="00A04E57"/>
    <w:rsid w:val="00A06324"/>
    <w:rsid w:val="00A16577"/>
    <w:rsid w:val="00A335B9"/>
    <w:rsid w:val="00A36FDD"/>
    <w:rsid w:val="00A430F5"/>
    <w:rsid w:val="00A53743"/>
    <w:rsid w:val="00A802B2"/>
    <w:rsid w:val="00AA3FC6"/>
    <w:rsid w:val="00AD0130"/>
    <w:rsid w:val="00AF0096"/>
    <w:rsid w:val="00AF2603"/>
    <w:rsid w:val="00B41708"/>
    <w:rsid w:val="00B43F60"/>
    <w:rsid w:val="00B47D85"/>
    <w:rsid w:val="00B93F67"/>
    <w:rsid w:val="00BA098A"/>
    <w:rsid w:val="00BB407F"/>
    <w:rsid w:val="00BB799E"/>
    <w:rsid w:val="00BF1353"/>
    <w:rsid w:val="00C0046E"/>
    <w:rsid w:val="00C2563B"/>
    <w:rsid w:val="00C256A7"/>
    <w:rsid w:val="00C66785"/>
    <w:rsid w:val="00C67A7B"/>
    <w:rsid w:val="00CA384E"/>
    <w:rsid w:val="00CA5358"/>
    <w:rsid w:val="00CB5005"/>
    <w:rsid w:val="00CD25B1"/>
    <w:rsid w:val="00CD5480"/>
    <w:rsid w:val="00CE306B"/>
    <w:rsid w:val="00CF3C17"/>
    <w:rsid w:val="00D1279F"/>
    <w:rsid w:val="00D23964"/>
    <w:rsid w:val="00D41289"/>
    <w:rsid w:val="00D4145C"/>
    <w:rsid w:val="00D42CA9"/>
    <w:rsid w:val="00D470A3"/>
    <w:rsid w:val="00D62FBF"/>
    <w:rsid w:val="00D76E46"/>
    <w:rsid w:val="00D8112F"/>
    <w:rsid w:val="00D83001"/>
    <w:rsid w:val="00DA58D8"/>
    <w:rsid w:val="00DC1C89"/>
    <w:rsid w:val="00DC3A48"/>
    <w:rsid w:val="00DC7483"/>
    <w:rsid w:val="00DE1183"/>
    <w:rsid w:val="00DE689D"/>
    <w:rsid w:val="00E3112E"/>
    <w:rsid w:val="00E346FB"/>
    <w:rsid w:val="00E81A7C"/>
    <w:rsid w:val="00E91F99"/>
    <w:rsid w:val="00EC1BFE"/>
    <w:rsid w:val="00EC2517"/>
    <w:rsid w:val="00EE689C"/>
    <w:rsid w:val="00F04C67"/>
    <w:rsid w:val="00F512F7"/>
    <w:rsid w:val="00F5490A"/>
    <w:rsid w:val="00F750EA"/>
    <w:rsid w:val="00F95363"/>
    <w:rsid w:val="00FB0057"/>
    <w:rsid w:val="00FB3093"/>
    <w:rsid w:val="00FB6B36"/>
    <w:rsid w:val="00FC45C6"/>
    <w:rsid w:val="00FC62D2"/>
    <w:rsid w:val="00FD043D"/>
    <w:rsid w:val="00FE00B0"/>
    <w:rsid w:val="00FE30FC"/>
    <w:rsid w:val="00FF46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F950B"/>
  <w15:chartTrackingRefBased/>
  <w15:docId w15:val="{0F55ED76-7536-44F9-A37F-610DF098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EFC"/>
    <w:rPr>
      <w:kern w:val="0"/>
      <w14:ligatures w14:val="none"/>
    </w:rPr>
  </w:style>
  <w:style w:type="paragraph" w:styleId="Titre1">
    <w:name w:val="heading 1"/>
    <w:basedOn w:val="Normal"/>
    <w:next w:val="Normal"/>
    <w:link w:val="Titre1Car"/>
    <w:uiPriority w:val="9"/>
    <w:qFormat/>
    <w:rsid w:val="001D1E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1D1E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1EFC"/>
    <w:rPr>
      <w:rFonts w:asciiTheme="majorHAnsi" w:eastAsiaTheme="majorEastAsia" w:hAnsiTheme="majorHAnsi" w:cstheme="majorBidi"/>
      <w:color w:val="2F5496" w:themeColor="accent1" w:themeShade="BF"/>
      <w:kern w:val="0"/>
      <w:sz w:val="32"/>
      <w:szCs w:val="32"/>
      <w14:ligatures w14:val="none"/>
    </w:rPr>
  </w:style>
  <w:style w:type="character" w:customStyle="1" w:styleId="Titre2Car">
    <w:name w:val="Titre 2 Car"/>
    <w:basedOn w:val="Policepardfaut"/>
    <w:link w:val="Titre2"/>
    <w:uiPriority w:val="9"/>
    <w:semiHidden/>
    <w:rsid w:val="001D1EFC"/>
    <w:rPr>
      <w:rFonts w:asciiTheme="majorHAnsi" w:eastAsiaTheme="majorEastAsia" w:hAnsiTheme="majorHAnsi" w:cstheme="majorBidi"/>
      <w:color w:val="2F5496" w:themeColor="accent1" w:themeShade="BF"/>
      <w:kern w:val="0"/>
      <w:sz w:val="26"/>
      <w:szCs w:val="26"/>
      <w14:ligatures w14:val="none"/>
    </w:rPr>
  </w:style>
  <w:style w:type="paragraph" w:customStyle="1" w:styleId="IFADparagraphnumbering">
    <w:name w:val="IFAD paragraph numbering"/>
    <w:basedOn w:val="Normal"/>
    <w:link w:val="IFADparagraphnumberingChar"/>
    <w:qFormat/>
    <w:rsid w:val="001D1EFC"/>
    <w:pPr>
      <w:numPr>
        <w:numId w:val="1"/>
      </w:numPr>
      <w:tabs>
        <w:tab w:val="left" w:pos="1134"/>
      </w:tabs>
      <w:suppressAutoHyphens/>
      <w:spacing w:after="120" w:line="264" w:lineRule="auto"/>
    </w:pPr>
    <w:rPr>
      <w:rFonts w:ascii="Arial" w:eastAsia="MS Mincho" w:hAnsi="Arial" w:cs="Arial"/>
      <w:kern w:val="2"/>
      <w:sz w:val="20"/>
      <w:szCs w:val="20"/>
    </w:rPr>
  </w:style>
  <w:style w:type="paragraph" w:customStyle="1" w:styleId="IFADparagraphno2ndlevel">
    <w:name w:val="IFAD paragraph no. 2nd level"/>
    <w:basedOn w:val="Normal"/>
    <w:qFormat/>
    <w:rsid w:val="001D1EFC"/>
    <w:pPr>
      <w:numPr>
        <w:ilvl w:val="1"/>
        <w:numId w:val="1"/>
      </w:numPr>
      <w:spacing w:after="120" w:line="264" w:lineRule="auto"/>
    </w:pPr>
    <w:rPr>
      <w:rFonts w:ascii="Arial" w:eastAsia="Times New Roman" w:hAnsi="Arial" w:cs="Arial"/>
      <w:sz w:val="20"/>
      <w:szCs w:val="20"/>
      <w14:scene3d>
        <w14:camera w14:prst="orthographicFront"/>
        <w14:lightRig w14:rig="threePt" w14:dir="t">
          <w14:rot w14:lat="0" w14:lon="0" w14:rev="0"/>
        </w14:lightRig>
      </w14:scene3d>
    </w:rPr>
  </w:style>
  <w:style w:type="paragraph" w:customStyle="1" w:styleId="IFADparagraphno3rdlevel">
    <w:name w:val="IFAD paragraph no. 3rd level"/>
    <w:basedOn w:val="Normal"/>
    <w:rsid w:val="001D1EFC"/>
    <w:pPr>
      <w:numPr>
        <w:ilvl w:val="2"/>
        <w:numId w:val="1"/>
      </w:numPr>
      <w:spacing w:after="120" w:line="264" w:lineRule="auto"/>
    </w:pPr>
    <w:rPr>
      <w:rFonts w:ascii="Arial" w:eastAsia="Times New Roman" w:hAnsi="Arial" w:cs="Arial"/>
      <w:sz w:val="20"/>
      <w:szCs w:val="20"/>
      <w14:scene3d>
        <w14:camera w14:prst="orthographicFront"/>
        <w14:lightRig w14:rig="threePt" w14:dir="t">
          <w14:rot w14:lat="0" w14:lon="0" w14:rev="0"/>
        </w14:lightRig>
      </w14:scene3d>
    </w:rPr>
  </w:style>
  <w:style w:type="paragraph" w:customStyle="1" w:styleId="IFADparagraphno4thlevel">
    <w:name w:val="IFAD paragraph no. 4th level"/>
    <w:basedOn w:val="Normal"/>
    <w:qFormat/>
    <w:rsid w:val="001D1EFC"/>
    <w:pPr>
      <w:numPr>
        <w:ilvl w:val="3"/>
        <w:numId w:val="1"/>
      </w:numPr>
      <w:spacing w:after="0" w:line="264" w:lineRule="auto"/>
    </w:pPr>
    <w:rPr>
      <w:rFonts w:ascii="Arial" w:eastAsia="Times New Roman" w:hAnsi="Arial" w:cs="Arial"/>
      <w:sz w:val="20"/>
      <w:szCs w:val="20"/>
      <w14:scene3d>
        <w14:camera w14:prst="orthographicFront"/>
        <w14:lightRig w14:rig="threePt" w14:dir="t">
          <w14:rot w14:lat="0" w14:lon="0" w14:rev="0"/>
        </w14:lightRig>
      </w14:scene3d>
    </w:rPr>
  </w:style>
  <w:style w:type="character" w:customStyle="1" w:styleId="IFADparagraphnumberingChar">
    <w:name w:val="IFAD paragraph numbering Char"/>
    <w:link w:val="IFADparagraphnumbering"/>
    <w:qFormat/>
    <w:rsid w:val="001D1EFC"/>
    <w:rPr>
      <w:rFonts w:ascii="Arial" w:eastAsia="MS Mincho" w:hAnsi="Arial" w:cs="Arial"/>
      <w:sz w:val="20"/>
      <w:szCs w:val="20"/>
      <w14:ligatures w14:val="none"/>
    </w:rPr>
  </w:style>
  <w:style w:type="numbering" w:customStyle="1" w:styleId="AnnexHeadings1">
    <w:name w:val="Annex_Headings1"/>
    <w:uiPriority w:val="99"/>
    <w:rsid w:val="001D1EFC"/>
    <w:pPr>
      <w:numPr>
        <w:numId w:val="2"/>
      </w:numPr>
    </w:pPr>
  </w:style>
  <w:style w:type="paragraph" w:styleId="Paragraphedeliste">
    <w:name w:val="List Paragraph"/>
    <w:aliases w:val="Objectifs,Titre1,Bullets,References,Liste 1,Numbered List Paragraph,ReferencesCxSpLast,List Paragraph (numbered (a)),Paragraphe  revu,List Paragraph nowy,Medium Grid 1 - Accent 21,List Paragraph1,List Bullet Mary,List_Paragraph,L_4,R"/>
    <w:basedOn w:val="Normal"/>
    <w:link w:val="ParagraphedelisteCar"/>
    <w:uiPriority w:val="34"/>
    <w:qFormat/>
    <w:rsid w:val="001D1EFC"/>
    <w:pPr>
      <w:ind w:left="720"/>
      <w:contextualSpacing/>
    </w:pPr>
  </w:style>
  <w:style w:type="character" w:customStyle="1" w:styleId="ParagraphedelisteCar">
    <w:name w:val="Paragraphe de liste Car"/>
    <w:aliases w:val="Objectifs Car,Titre1 Car,Bullets Car,References Car,Liste 1 Car,Numbered List Paragraph Car,ReferencesCxSpLast Car,List Paragraph (numbered (a)) Car,Paragraphe  revu Car,List Paragraph nowy Car,Medium Grid 1 - Accent 21 Car,R Car"/>
    <w:link w:val="Paragraphedeliste"/>
    <w:uiPriority w:val="34"/>
    <w:qFormat/>
    <w:locked/>
    <w:rsid w:val="001D1EFC"/>
    <w:rPr>
      <w:kern w:val="0"/>
      <w14:ligatures w14:val="none"/>
    </w:rPr>
  </w:style>
  <w:style w:type="paragraph" w:styleId="Rvision">
    <w:name w:val="Revision"/>
    <w:hidden/>
    <w:uiPriority w:val="99"/>
    <w:semiHidden/>
    <w:rsid w:val="000014BC"/>
    <w:pPr>
      <w:spacing w:after="0" w:line="240" w:lineRule="auto"/>
    </w:pPr>
    <w:rPr>
      <w:kern w:val="0"/>
      <w14:ligatures w14:val="none"/>
    </w:rPr>
  </w:style>
  <w:style w:type="paragraph" w:styleId="Corpsdetexte">
    <w:name w:val="Body Text"/>
    <w:basedOn w:val="Normal"/>
    <w:link w:val="CorpsdetexteCar"/>
    <w:rsid w:val="005811B0"/>
    <w:pPr>
      <w:spacing w:after="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5811B0"/>
    <w:rPr>
      <w:rFonts w:ascii="Times New Roman" w:eastAsia="Times New Roman" w:hAnsi="Times New Roman" w:cs="Times New Roman"/>
      <w:kern w:val="0"/>
      <w:sz w:val="24"/>
      <w:szCs w:val="24"/>
      <w:lang w:eastAsia="fr-FR"/>
      <w14:ligatures w14:val="none"/>
    </w:rPr>
  </w:style>
  <w:style w:type="table" w:styleId="Grilledutableau">
    <w:name w:val="Table Grid"/>
    <w:basedOn w:val="TableauNormal"/>
    <w:uiPriority w:val="39"/>
    <w:rsid w:val="005F1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43F60"/>
    <w:pPr>
      <w:tabs>
        <w:tab w:val="center" w:pos="4536"/>
        <w:tab w:val="right" w:pos="9072"/>
      </w:tabs>
      <w:spacing w:after="0" w:line="240" w:lineRule="auto"/>
    </w:pPr>
  </w:style>
  <w:style w:type="character" w:customStyle="1" w:styleId="En-tteCar">
    <w:name w:val="En-tête Car"/>
    <w:basedOn w:val="Policepardfaut"/>
    <w:link w:val="En-tte"/>
    <w:uiPriority w:val="99"/>
    <w:rsid w:val="00B43F60"/>
    <w:rPr>
      <w:kern w:val="0"/>
      <w14:ligatures w14:val="none"/>
    </w:rPr>
  </w:style>
  <w:style w:type="paragraph" w:styleId="Pieddepage">
    <w:name w:val="footer"/>
    <w:basedOn w:val="Normal"/>
    <w:link w:val="PieddepageCar"/>
    <w:uiPriority w:val="99"/>
    <w:unhideWhenUsed/>
    <w:rsid w:val="00B43F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3F60"/>
    <w:rPr>
      <w:kern w:val="0"/>
      <w14:ligatures w14:val="none"/>
    </w:rPr>
  </w:style>
  <w:style w:type="character" w:styleId="Lienhypertexte">
    <w:name w:val="Hyperlink"/>
    <w:basedOn w:val="Policepardfaut"/>
    <w:uiPriority w:val="99"/>
    <w:unhideWhenUsed/>
    <w:rsid w:val="00F512F7"/>
    <w:rPr>
      <w:color w:val="0563C1" w:themeColor="hyperlink"/>
      <w:u w:val="single"/>
    </w:rPr>
  </w:style>
  <w:style w:type="character" w:styleId="Marquedecommentaire">
    <w:name w:val="annotation reference"/>
    <w:basedOn w:val="Policepardfaut"/>
    <w:uiPriority w:val="99"/>
    <w:semiHidden/>
    <w:unhideWhenUsed/>
    <w:rsid w:val="002F465D"/>
    <w:rPr>
      <w:sz w:val="16"/>
      <w:szCs w:val="16"/>
    </w:rPr>
  </w:style>
  <w:style w:type="paragraph" w:styleId="Commentaire">
    <w:name w:val="annotation text"/>
    <w:basedOn w:val="Normal"/>
    <w:link w:val="CommentaireCar"/>
    <w:uiPriority w:val="99"/>
    <w:semiHidden/>
    <w:unhideWhenUsed/>
    <w:rsid w:val="002F465D"/>
    <w:pPr>
      <w:spacing w:line="240" w:lineRule="auto"/>
    </w:pPr>
    <w:rPr>
      <w:sz w:val="20"/>
      <w:szCs w:val="20"/>
    </w:rPr>
  </w:style>
  <w:style w:type="character" w:customStyle="1" w:styleId="CommentaireCar">
    <w:name w:val="Commentaire Car"/>
    <w:basedOn w:val="Policepardfaut"/>
    <w:link w:val="Commentaire"/>
    <w:uiPriority w:val="99"/>
    <w:semiHidden/>
    <w:rsid w:val="002F465D"/>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2F465D"/>
    <w:rPr>
      <w:b/>
      <w:bCs/>
    </w:rPr>
  </w:style>
  <w:style w:type="character" w:customStyle="1" w:styleId="ObjetducommentaireCar">
    <w:name w:val="Objet du commentaire Car"/>
    <w:basedOn w:val="CommentaireCar"/>
    <w:link w:val="Objetducommentaire"/>
    <w:uiPriority w:val="99"/>
    <w:semiHidden/>
    <w:rsid w:val="002F465D"/>
    <w:rPr>
      <w:b/>
      <w:bCs/>
      <w:kern w:val="0"/>
      <w:sz w:val="20"/>
      <w:szCs w:val="20"/>
      <w14:ligatures w14:val="none"/>
    </w:rPr>
  </w:style>
  <w:style w:type="paragraph" w:styleId="Textedebulles">
    <w:name w:val="Balloon Text"/>
    <w:basedOn w:val="Normal"/>
    <w:link w:val="TextedebullesCar"/>
    <w:uiPriority w:val="99"/>
    <w:semiHidden/>
    <w:unhideWhenUsed/>
    <w:rsid w:val="000109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109C0"/>
    <w:rPr>
      <w:rFonts w:ascii="Segoe UI" w:hAnsi="Segoe UI" w:cs="Segoe UI"/>
      <w:kern w:val="0"/>
      <w:sz w:val="18"/>
      <w:szCs w:val="18"/>
      <w14:ligatures w14:val="none"/>
    </w:rPr>
  </w:style>
  <w:style w:type="paragraph" w:styleId="Corpsdetexte2">
    <w:name w:val="Body Text 2"/>
    <w:basedOn w:val="Normal"/>
    <w:link w:val="Corpsdetexte2Car"/>
    <w:uiPriority w:val="99"/>
    <w:unhideWhenUsed/>
    <w:rsid w:val="00AA3FC6"/>
    <w:pPr>
      <w:spacing w:after="120" w:line="480" w:lineRule="auto"/>
    </w:pPr>
  </w:style>
  <w:style w:type="character" w:customStyle="1" w:styleId="Corpsdetexte2Car">
    <w:name w:val="Corps de texte 2 Car"/>
    <w:basedOn w:val="Policepardfaut"/>
    <w:link w:val="Corpsdetexte2"/>
    <w:uiPriority w:val="99"/>
    <w:rsid w:val="00AA3FC6"/>
    <w:rPr>
      <w:kern w:val="0"/>
      <w14:ligatures w14:val="none"/>
    </w:rPr>
  </w:style>
  <w:style w:type="paragraph" w:styleId="Notedebasdepage">
    <w:name w:val="footnote text"/>
    <w:basedOn w:val="Normal"/>
    <w:link w:val="NotedebasdepageCar"/>
    <w:uiPriority w:val="99"/>
    <w:semiHidden/>
    <w:unhideWhenUsed/>
    <w:rsid w:val="009D2E75"/>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semiHidden/>
    <w:rsid w:val="009D2E75"/>
    <w:rPr>
      <w:rFonts w:ascii="Times New Roman" w:eastAsia="Times New Roman" w:hAnsi="Times New Roman" w:cs="Times New Roman"/>
      <w:kern w:val="0"/>
      <w:sz w:val="20"/>
      <w:szCs w:val="20"/>
      <w14:ligatures w14:val="none"/>
    </w:rPr>
  </w:style>
  <w:style w:type="paragraph" w:customStyle="1" w:styleId="Heading1a">
    <w:name w:val="Heading 1a"/>
    <w:basedOn w:val="Titre1"/>
    <w:next w:val="Normal"/>
    <w:rsid w:val="009D2E75"/>
    <w:pPr>
      <w:spacing w:before="0" w:after="360" w:line="240" w:lineRule="auto"/>
      <w:jc w:val="center"/>
      <w:outlineLvl w:val="9"/>
    </w:pPr>
    <w:rPr>
      <w:rFonts w:ascii="Times New Roman" w:eastAsia="Times New Roman" w:hAnsi="Times New Roman" w:cs="Times New Roman"/>
      <w:b/>
      <w:color w:val="auto"/>
      <w:szCs w:val="20"/>
    </w:rPr>
  </w:style>
  <w:style w:type="character" w:styleId="Appelnotedebasdep">
    <w:name w:val="footnote reference"/>
    <w:uiPriority w:val="99"/>
    <w:semiHidden/>
    <w:unhideWhenUsed/>
    <w:rsid w:val="009D2E75"/>
    <w:rPr>
      <w:vertAlign w:val="superscript"/>
    </w:rPr>
  </w:style>
  <w:style w:type="character" w:styleId="Mentionnonrsolue">
    <w:name w:val="Unresolved Mention"/>
    <w:basedOn w:val="Policepardfaut"/>
    <w:uiPriority w:val="99"/>
    <w:semiHidden/>
    <w:unhideWhenUsed/>
    <w:rsid w:val="00A06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4576">
      <w:bodyDiv w:val="1"/>
      <w:marLeft w:val="0"/>
      <w:marRight w:val="0"/>
      <w:marTop w:val="0"/>
      <w:marBottom w:val="0"/>
      <w:divBdr>
        <w:top w:val="none" w:sz="0" w:space="0" w:color="auto"/>
        <w:left w:val="none" w:sz="0" w:space="0" w:color="auto"/>
        <w:bottom w:val="none" w:sz="0" w:space="0" w:color="auto"/>
        <w:right w:val="none" w:sz="0" w:space="0" w:color="auto"/>
      </w:divBdr>
    </w:div>
    <w:div w:id="194589018">
      <w:bodyDiv w:val="1"/>
      <w:marLeft w:val="0"/>
      <w:marRight w:val="0"/>
      <w:marTop w:val="0"/>
      <w:marBottom w:val="0"/>
      <w:divBdr>
        <w:top w:val="none" w:sz="0" w:space="0" w:color="auto"/>
        <w:left w:val="none" w:sz="0" w:space="0" w:color="auto"/>
        <w:bottom w:val="none" w:sz="0" w:space="0" w:color="auto"/>
        <w:right w:val="none" w:sz="0" w:space="0" w:color="auto"/>
      </w:divBdr>
    </w:div>
    <w:div w:id="449587745">
      <w:bodyDiv w:val="1"/>
      <w:marLeft w:val="0"/>
      <w:marRight w:val="0"/>
      <w:marTop w:val="0"/>
      <w:marBottom w:val="0"/>
      <w:divBdr>
        <w:top w:val="none" w:sz="0" w:space="0" w:color="auto"/>
        <w:left w:val="none" w:sz="0" w:space="0" w:color="auto"/>
        <w:bottom w:val="none" w:sz="0" w:space="0" w:color="auto"/>
        <w:right w:val="none" w:sz="0" w:space="0" w:color="auto"/>
      </w:divBdr>
    </w:div>
    <w:div w:id="961962144">
      <w:bodyDiv w:val="1"/>
      <w:marLeft w:val="0"/>
      <w:marRight w:val="0"/>
      <w:marTop w:val="0"/>
      <w:marBottom w:val="0"/>
      <w:divBdr>
        <w:top w:val="none" w:sz="0" w:space="0" w:color="auto"/>
        <w:left w:val="none" w:sz="0" w:space="0" w:color="auto"/>
        <w:bottom w:val="none" w:sz="0" w:space="0" w:color="auto"/>
        <w:right w:val="none" w:sz="0" w:space="0" w:color="auto"/>
      </w:divBdr>
    </w:div>
    <w:div w:id="1339697379">
      <w:bodyDiv w:val="1"/>
      <w:marLeft w:val="0"/>
      <w:marRight w:val="0"/>
      <w:marTop w:val="0"/>
      <w:marBottom w:val="0"/>
      <w:divBdr>
        <w:top w:val="none" w:sz="0" w:space="0" w:color="auto"/>
        <w:left w:val="none" w:sz="0" w:space="0" w:color="auto"/>
        <w:bottom w:val="none" w:sz="0" w:space="0" w:color="auto"/>
        <w:right w:val="none" w:sz="0" w:space="0" w:color="auto"/>
      </w:divBdr>
    </w:div>
    <w:div w:id="1380713581">
      <w:bodyDiv w:val="1"/>
      <w:marLeft w:val="0"/>
      <w:marRight w:val="0"/>
      <w:marTop w:val="0"/>
      <w:marBottom w:val="0"/>
      <w:divBdr>
        <w:top w:val="none" w:sz="0" w:space="0" w:color="auto"/>
        <w:left w:val="none" w:sz="0" w:space="0" w:color="auto"/>
        <w:bottom w:val="none" w:sz="0" w:space="0" w:color="auto"/>
        <w:right w:val="none" w:sz="0" w:space="0" w:color="auto"/>
      </w:divBdr>
    </w:div>
    <w:div w:id="1473215045">
      <w:bodyDiv w:val="1"/>
      <w:marLeft w:val="0"/>
      <w:marRight w:val="0"/>
      <w:marTop w:val="0"/>
      <w:marBottom w:val="0"/>
      <w:divBdr>
        <w:top w:val="none" w:sz="0" w:space="0" w:color="auto"/>
        <w:left w:val="none" w:sz="0" w:space="0" w:color="auto"/>
        <w:bottom w:val="none" w:sz="0" w:space="0" w:color="auto"/>
        <w:right w:val="none" w:sz="0" w:space="0" w:color="auto"/>
      </w:divBdr>
    </w:div>
    <w:div w:id="1696424492">
      <w:bodyDiv w:val="1"/>
      <w:marLeft w:val="0"/>
      <w:marRight w:val="0"/>
      <w:marTop w:val="0"/>
      <w:marBottom w:val="0"/>
      <w:divBdr>
        <w:top w:val="none" w:sz="0" w:space="0" w:color="auto"/>
        <w:left w:val="none" w:sz="0" w:space="0" w:color="auto"/>
        <w:bottom w:val="none" w:sz="0" w:space="0" w:color="auto"/>
        <w:right w:val="none" w:sz="0" w:space="0" w:color="auto"/>
      </w:divBdr>
    </w:div>
    <w:div w:id="213872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ad.org/fr/passation-de-marches-projet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ntact.renfort@fidatchad.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fr/document-detail/asset/40738506" TargetMode="External"/><Relationship Id="rId2" Type="http://schemas.openxmlformats.org/officeDocument/2006/relationships/hyperlink" Target="https://www.ifad.org/fr/document-detail/asset/40189695" TargetMode="External"/><Relationship Id="rId1" Type="http://schemas.openxmlformats.org/officeDocument/2006/relationships/hyperlink" Target="https://www.ifad.org/fr/document-detail/asset/4194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952</Words>
  <Characters>5427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RIMOYAL</dc:creator>
  <cp:keywords/>
  <dc:description/>
  <cp:lastModifiedBy>PC</cp:lastModifiedBy>
  <cp:revision>21</cp:revision>
  <dcterms:created xsi:type="dcterms:W3CDTF">2025-09-10T12:04:00Z</dcterms:created>
  <dcterms:modified xsi:type="dcterms:W3CDTF">2025-09-29T12:35:00Z</dcterms:modified>
</cp:coreProperties>
</file>